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E58" w:rsidRDefault="002F6E58" w:rsidP="002F6E58">
      <w:pPr>
        <w:jc w:val="center"/>
        <w:rPr>
          <w:rFonts w:ascii="仿宋_GB2312" w:eastAsia="仿宋_GB2312"/>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 xml:space="preserve"> “宝益得-丰益”</w:t>
      </w:r>
      <w:r w:rsidRPr="00837F23">
        <w:rPr>
          <w:rFonts w:ascii="仿宋_GB2312" w:eastAsia="仿宋_GB2312" w:hint="eastAsia"/>
          <w:b/>
          <w:sz w:val="28"/>
          <w:szCs w:val="28"/>
        </w:rPr>
        <w:t>系列</w:t>
      </w:r>
    </w:p>
    <w:p w:rsidR="002F6E58" w:rsidRPr="00837F23" w:rsidRDefault="002F6E58" w:rsidP="002F6E58">
      <w:pPr>
        <w:jc w:val="center"/>
        <w:rPr>
          <w:rFonts w:ascii="仿宋_GB2312" w:eastAsia="仿宋_GB2312"/>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2F6E58" w:rsidRPr="00837F23" w:rsidRDefault="002F6E58" w:rsidP="002F6E58">
      <w:pPr>
        <w:rPr>
          <w:rFonts w:ascii="仿宋_GB2312" w:eastAsia="仿宋_GB2312"/>
          <w:sz w:val="24"/>
        </w:rPr>
      </w:pPr>
      <w:r w:rsidRPr="00837F23">
        <w:rPr>
          <w:rFonts w:ascii="仿宋_GB2312" w:eastAsia="仿宋_GB2312" w:hint="eastAsia"/>
          <w:sz w:val="24"/>
        </w:rPr>
        <w:t>尊敬的理财客户：</w:t>
      </w:r>
    </w:p>
    <w:p w:rsidR="002F6E58" w:rsidRPr="00837F23" w:rsidRDefault="002F6E58" w:rsidP="002F6E58">
      <w:pPr>
        <w:ind w:firstLineChars="200" w:firstLine="480"/>
        <w:rPr>
          <w:rFonts w:ascii="仿宋_GB2312" w:eastAsia="仿宋_GB2312"/>
          <w:sz w:val="24"/>
        </w:rPr>
      </w:pPr>
      <w:r w:rsidRPr="00837F23">
        <w:rPr>
          <w:rFonts w:ascii="仿宋_GB2312" w:eastAsia="仿宋_GB2312" w:hint="eastAsia"/>
          <w:sz w:val="24"/>
        </w:rPr>
        <w:t>理财产品投资在获取收益的同时存在投资风险，为了保护您的合法权益，请</w:t>
      </w:r>
    </w:p>
    <w:p w:rsidR="002F6E58" w:rsidRPr="00837F23" w:rsidRDefault="002F6E58" w:rsidP="002F6E58">
      <w:pPr>
        <w:rPr>
          <w:rFonts w:ascii="仿宋_GB2312" w:eastAsia="仿宋_GB2312"/>
          <w:sz w:val="24"/>
        </w:rPr>
      </w:pPr>
      <w:r w:rsidRPr="00837F23">
        <w:rPr>
          <w:rFonts w:ascii="仿宋_GB2312" w:eastAsia="仿宋_GB2312" w:hint="eastAsia"/>
          <w:sz w:val="24"/>
        </w:rPr>
        <w:t>在投资理财产品之前认真阅读以下内容：</w:t>
      </w:r>
    </w:p>
    <w:p w:rsidR="002F6E58" w:rsidRPr="00837F23" w:rsidRDefault="002F6E58" w:rsidP="002F6E58">
      <w:pPr>
        <w:ind w:firstLineChars="200" w:firstLine="480"/>
        <w:rPr>
          <w:rFonts w:ascii="仿宋_GB2312" w:eastAsia="仿宋_GB2312"/>
          <w:sz w:val="24"/>
        </w:rPr>
      </w:pPr>
      <w:r w:rsidRPr="00837F23">
        <w:rPr>
          <w:rFonts w:ascii="仿宋_GB2312" w:eastAsia="仿宋_GB2312" w:hint="eastAsia"/>
          <w:sz w:val="24"/>
        </w:rPr>
        <w:t>一、理财产品购买流程</w:t>
      </w:r>
    </w:p>
    <w:p w:rsidR="002F6E58" w:rsidRPr="00837F23" w:rsidRDefault="002F6E58" w:rsidP="002F6E58">
      <w:pPr>
        <w:ind w:firstLineChars="200" w:firstLine="480"/>
        <w:rPr>
          <w:rFonts w:ascii="仿宋_GB2312" w:eastAsia="仿宋_GB2312"/>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2F6E58" w:rsidRPr="00837F23" w:rsidRDefault="002F6E58" w:rsidP="002F6E58">
      <w:pPr>
        <w:rPr>
          <w:rFonts w:ascii="仿宋_GB2312" w:eastAsia="仿宋_GB2312"/>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2F6E58" w:rsidRPr="00837F23" w:rsidRDefault="002F6E58" w:rsidP="002F6E58">
      <w:pPr>
        <w:ind w:firstLine="480"/>
        <w:rPr>
          <w:rFonts w:ascii="仿宋_GB2312" w:eastAsia="仿宋_GB2312"/>
          <w:sz w:val="24"/>
        </w:rPr>
      </w:pPr>
      <w:r w:rsidRPr="00837F23">
        <w:rPr>
          <w:rFonts w:ascii="仿宋_GB2312" w:eastAsia="仿宋_GB2312" w:hint="eastAsia"/>
          <w:sz w:val="24"/>
        </w:rPr>
        <w:t>二、客户风险承受能力评估</w:t>
      </w:r>
    </w:p>
    <w:p w:rsidR="002F6E58" w:rsidRPr="00837F23" w:rsidRDefault="002F6E58" w:rsidP="002F6E58">
      <w:pPr>
        <w:ind w:firstLine="480"/>
        <w:rPr>
          <w:rFonts w:ascii="仿宋_GB2312" w:eastAsia="仿宋_GB2312"/>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2F6E58" w:rsidRPr="00837F23" w:rsidRDefault="002F6E58" w:rsidP="002F6E58">
      <w:pPr>
        <w:ind w:firstLine="480"/>
        <w:rPr>
          <w:rFonts w:ascii="仿宋_GB2312" w:eastAsia="仿宋_GB2312"/>
          <w:sz w:val="24"/>
        </w:rPr>
      </w:pPr>
      <w:r w:rsidRPr="00837F23">
        <w:rPr>
          <w:rFonts w:ascii="仿宋_GB2312" w:eastAsia="仿宋_GB2312" w:hint="eastAsia"/>
          <w:sz w:val="24"/>
        </w:rPr>
        <w:t>三、信息公告</w:t>
      </w:r>
    </w:p>
    <w:p w:rsidR="002F6E58" w:rsidRPr="00837F23" w:rsidRDefault="002F6E58" w:rsidP="002F6E58">
      <w:pPr>
        <w:ind w:firstLine="480"/>
        <w:rPr>
          <w:rFonts w:ascii="仿宋_GB2312" w:eastAsia="仿宋_GB2312"/>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2F6E58" w:rsidRPr="00837F23" w:rsidRDefault="002F6E58" w:rsidP="002F6E58">
      <w:pPr>
        <w:ind w:firstLine="480"/>
        <w:rPr>
          <w:rFonts w:ascii="仿宋_GB2312" w:eastAsia="仿宋_GB2312"/>
          <w:sz w:val="24"/>
        </w:rPr>
      </w:pPr>
      <w:r w:rsidRPr="00837F23">
        <w:rPr>
          <w:rFonts w:ascii="仿宋_GB2312" w:eastAsia="仿宋_GB2312" w:hint="eastAsia"/>
          <w:sz w:val="24"/>
        </w:rPr>
        <w:t>四、投诉及建议</w:t>
      </w:r>
    </w:p>
    <w:p w:rsidR="002F6E58" w:rsidRPr="00837F23" w:rsidRDefault="002F6E58" w:rsidP="002F6E58">
      <w:pPr>
        <w:ind w:firstLine="480"/>
        <w:rPr>
          <w:rFonts w:ascii="仿宋_GB2312" w:eastAsia="仿宋_GB2312"/>
          <w:sz w:val="24"/>
        </w:rPr>
      </w:pPr>
      <w:r w:rsidRPr="00837F23">
        <w:rPr>
          <w:rFonts w:ascii="仿宋_GB2312" w:eastAsia="仿宋_GB2312" w:hint="eastAsia"/>
          <w:sz w:val="24"/>
        </w:rPr>
        <w:t>若客户对理财产品有任何投诉或建议，请致电我行客户服务热线“96155”</w:t>
      </w:r>
    </w:p>
    <w:p w:rsidR="002F6E58" w:rsidRPr="00837F23" w:rsidRDefault="002F6E58" w:rsidP="002F6E58">
      <w:pPr>
        <w:rPr>
          <w:rFonts w:ascii="仿宋_GB2312" w:eastAsia="仿宋_GB2312"/>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2F6E58" w:rsidRPr="00837F23" w:rsidRDefault="002F6E58" w:rsidP="002F6E58">
      <w:pPr>
        <w:rPr>
          <w:rFonts w:ascii="仿宋_GB2312" w:eastAsia="仿宋_GB2312"/>
          <w:sz w:val="24"/>
        </w:rPr>
      </w:pPr>
    </w:p>
    <w:p w:rsidR="002F6E58" w:rsidRPr="00837F23" w:rsidRDefault="002F6E58" w:rsidP="002F6E58">
      <w:pPr>
        <w:rPr>
          <w:rFonts w:ascii="仿宋_GB2312" w:eastAsia="仿宋_GB2312"/>
          <w:sz w:val="24"/>
        </w:rPr>
      </w:pPr>
    </w:p>
    <w:p w:rsidR="002F6E58" w:rsidRPr="00837F23" w:rsidRDefault="002F6E58" w:rsidP="002F6E58">
      <w:pPr>
        <w:rPr>
          <w:rFonts w:ascii="仿宋_GB2312" w:eastAsia="仿宋_GB2312"/>
          <w:sz w:val="24"/>
        </w:rPr>
      </w:pPr>
    </w:p>
    <w:p w:rsidR="002F6E58" w:rsidRPr="00837F23" w:rsidRDefault="002F6E58" w:rsidP="002F6E58">
      <w:pPr>
        <w:rPr>
          <w:rFonts w:ascii="仿宋_GB2312" w:eastAsia="仿宋_GB2312"/>
          <w:sz w:val="24"/>
        </w:rPr>
      </w:pPr>
    </w:p>
    <w:p w:rsidR="002F6E58" w:rsidRPr="00837F23" w:rsidRDefault="002F6E58" w:rsidP="002F6E58">
      <w:pPr>
        <w:rPr>
          <w:rFonts w:ascii="仿宋_GB2312" w:eastAsia="仿宋_GB2312"/>
          <w:sz w:val="24"/>
        </w:rPr>
      </w:pPr>
      <w:r w:rsidRPr="00837F23">
        <w:rPr>
          <w:rFonts w:ascii="仿宋_GB2312" w:eastAsia="仿宋_GB2312" w:hint="eastAsia"/>
          <w:sz w:val="24"/>
        </w:rPr>
        <w:t xml:space="preserve">                                         天津农村商业银行股份有限公司</w:t>
      </w:r>
    </w:p>
    <w:p w:rsidR="002F6E58" w:rsidRPr="00837F23" w:rsidRDefault="002F6E58" w:rsidP="002F6E58">
      <w:pPr>
        <w:rPr>
          <w:rFonts w:ascii="仿宋_GB2312" w:eastAsia="仿宋_GB2312"/>
          <w:b/>
          <w:sz w:val="24"/>
        </w:rPr>
      </w:pPr>
    </w:p>
    <w:p w:rsidR="002F6E58" w:rsidRPr="00837F23" w:rsidRDefault="002F6E58" w:rsidP="002F6E58">
      <w:pPr>
        <w:jc w:val="center"/>
        <w:rPr>
          <w:rFonts w:ascii="仿宋_GB2312" w:eastAsia="仿宋_GB2312"/>
          <w:b/>
          <w:sz w:val="28"/>
          <w:szCs w:val="28"/>
        </w:rPr>
      </w:pPr>
    </w:p>
    <w:p w:rsidR="002F6E58" w:rsidRDefault="002F6E58" w:rsidP="002F6E58">
      <w:pPr>
        <w:jc w:val="center"/>
        <w:rPr>
          <w:rFonts w:ascii="仿宋_GB2312" w:eastAsia="仿宋_GB2312"/>
          <w:b/>
          <w:sz w:val="28"/>
          <w:szCs w:val="28"/>
        </w:rPr>
      </w:pPr>
    </w:p>
    <w:p w:rsidR="002F6E58" w:rsidRDefault="002F6E58" w:rsidP="002F6E58">
      <w:pPr>
        <w:jc w:val="center"/>
        <w:rPr>
          <w:rFonts w:ascii="仿宋_GB2312" w:eastAsia="仿宋_GB2312"/>
          <w:b/>
          <w:sz w:val="28"/>
          <w:szCs w:val="28"/>
        </w:rPr>
      </w:pPr>
    </w:p>
    <w:p w:rsidR="002F6E58" w:rsidRDefault="002F6E58" w:rsidP="002F6E58">
      <w:pPr>
        <w:jc w:val="center"/>
        <w:rPr>
          <w:rFonts w:ascii="仿宋_GB2312" w:eastAsia="仿宋_GB2312"/>
          <w:b/>
          <w:sz w:val="28"/>
          <w:szCs w:val="28"/>
        </w:rPr>
      </w:pPr>
    </w:p>
    <w:p w:rsidR="002F6E58" w:rsidRDefault="002F6E58" w:rsidP="002F6E58">
      <w:pPr>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“宝益得-丰益”</w:t>
      </w:r>
      <w:r w:rsidRPr="00837F23">
        <w:rPr>
          <w:rFonts w:ascii="仿宋_GB2312" w:eastAsia="仿宋_GB2312" w:hint="eastAsia"/>
          <w:b/>
          <w:sz w:val="28"/>
          <w:szCs w:val="28"/>
        </w:rPr>
        <w:t>系列</w:t>
      </w:r>
    </w:p>
    <w:p w:rsidR="002F6E58" w:rsidRPr="00837F23" w:rsidRDefault="002F6E58" w:rsidP="002F6E58">
      <w:pPr>
        <w:jc w:val="center"/>
        <w:rPr>
          <w:rFonts w:ascii="仿宋_GB2312" w:eastAsia="仿宋_GB2312"/>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2F6E58" w:rsidRPr="00837F23" w:rsidRDefault="002F6E58" w:rsidP="002F6E58">
      <w:pPr>
        <w:jc w:val="center"/>
        <w:rPr>
          <w:rFonts w:ascii="仿宋_GB2312" w:eastAsia="仿宋_GB2312"/>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2" name="圆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2F6E58" w:rsidRPr="00CD0FCC" w:rsidRDefault="002F6E58" w:rsidP="002F6E58">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2F6E58" w:rsidRPr="009351B8" w:rsidRDefault="002F6E58" w:rsidP="002F6E58">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2"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CT1QAi&#10;TQIAAG4EAAAOAAAAAAAAAAAAAAAAAC4CAABkcnMvZTJvRG9jLnhtbFBLAQItABQABgAIAAAAIQAq&#10;DRtS2gAAAAgBAAAPAAAAAAAAAAAAAAAAAKcEAABkcnMvZG93bnJldi54bWxQSwUGAAAAAAQABADz&#10;AAAArgUAAAAA&#10;">
                <v:textbox>
                  <w:txbxContent>
                    <w:p w:rsidR="002F6E58" w:rsidRPr="00CD0FCC" w:rsidRDefault="002F6E58" w:rsidP="002F6E58">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2F6E58" w:rsidRPr="009351B8" w:rsidRDefault="002F6E58" w:rsidP="002F6E58">
                      <w:pPr>
                        <w:rPr>
                          <w:rFonts w:ascii="华文中宋" w:eastAsia="华文中宋" w:hAnsi="华文中宋"/>
                          <w:b/>
                          <w:sz w:val="28"/>
                          <w:szCs w:val="28"/>
                        </w:rPr>
                      </w:pPr>
                    </w:p>
                  </w:txbxContent>
                </v:textbox>
              </v:roundrect>
            </w:pict>
          </mc:Fallback>
        </mc:AlternateContent>
      </w:r>
    </w:p>
    <w:p w:rsidR="002F6E58" w:rsidRPr="00837F23" w:rsidRDefault="002F6E58" w:rsidP="002F6E58">
      <w:pPr>
        <w:jc w:val="center"/>
        <w:rPr>
          <w:rFonts w:ascii="仿宋_GB2312" w:eastAsia="仿宋_GB2312"/>
          <w:b/>
          <w:sz w:val="28"/>
          <w:szCs w:val="28"/>
        </w:rPr>
      </w:pPr>
    </w:p>
    <w:p w:rsidR="002F6E58" w:rsidRPr="00837F23" w:rsidRDefault="002F6E58" w:rsidP="002F6E58">
      <w:pPr>
        <w:rPr>
          <w:rFonts w:ascii="仿宋_GB2312" w:eastAsia="仿宋_GB2312"/>
          <w:szCs w:val="21"/>
        </w:rPr>
      </w:pPr>
      <w:r w:rsidRPr="00837F23">
        <w:rPr>
          <w:rFonts w:ascii="仿宋_GB2312" w:eastAsia="仿宋_GB2312" w:hint="eastAsia"/>
          <w:szCs w:val="21"/>
        </w:rPr>
        <w:t xml:space="preserve">尊敬的客户： </w:t>
      </w:r>
    </w:p>
    <w:p w:rsidR="002F6E58" w:rsidRPr="00837F23" w:rsidRDefault="002F6E58" w:rsidP="002F6E58">
      <w:pPr>
        <w:ind w:firstLineChars="200" w:firstLine="420"/>
        <w:rPr>
          <w:rFonts w:ascii="仿宋_GB2312" w:eastAsia="仿宋_GB2312"/>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2F6E58" w:rsidRPr="00837F23" w:rsidRDefault="002F6E58" w:rsidP="002F6E58">
      <w:pPr>
        <w:ind w:firstLineChars="200" w:firstLine="422"/>
        <w:rPr>
          <w:rFonts w:ascii="仿宋_GB2312" w:eastAsia="仿宋_GB2312"/>
          <w:b/>
          <w:szCs w:val="21"/>
        </w:rPr>
      </w:pPr>
      <w:r w:rsidRPr="00837F23">
        <w:rPr>
          <w:rFonts w:ascii="仿宋_GB2312" w:eastAsia="仿宋_GB2312" w:hint="eastAsia"/>
          <w:b/>
          <w:szCs w:val="21"/>
        </w:rPr>
        <w:t>重要须知：</w:t>
      </w:r>
    </w:p>
    <w:p w:rsidR="002F6E58" w:rsidRPr="00837F23" w:rsidRDefault="002F6E58" w:rsidP="002F6E58">
      <w:pPr>
        <w:ind w:firstLineChars="200" w:firstLine="420"/>
        <w:rPr>
          <w:rFonts w:ascii="仿宋_GB2312" w:eastAsia="仿宋_GB2312"/>
          <w:szCs w:val="21"/>
        </w:rPr>
      </w:pPr>
      <w:r w:rsidRPr="00837F23">
        <w:rPr>
          <w:rFonts w:ascii="仿宋_GB2312" w:eastAsia="仿宋_GB2312" w:hint="eastAsia"/>
          <w:szCs w:val="21"/>
        </w:rPr>
        <w:t xml:space="preserve">（一）银行销售的理财产品与存款存在明显区别，具有一定的风险，投资须谨慎； </w:t>
      </w:r>
    </w:p>
    <w:p w:rsidR="002F6E58" w:rsidRPr="009A1092" w:rsidRDefault="002F6E58" w:rsidP="002F6E58">
      <w:pPr>
        <w:ind w:firstLineChars="200" w:firstLine="420"/>
        <w:rPr>
          <w:rFonts w:ascii="仿宋_GB2312" w:eastAsia="仿宋_GB2312"/>
          <w:szCs w:val="21"/>
        </w:rPr>
      </w:pPr>
      <w:r w:rsidRPr="009A1092">
        <w:rPr>
          <w:rFonts w:ascii="仿宋_GB2312" w:eastAsia="仿宋_GB2312" w:hint="eastAsia"/>
          <w:szCs w:val="21"/>
        </w:rPr>
        <w:t>（二）</w:t>
      </w:r>
      <w:r w:rsidRPr="002E2606">
        <w:rPr>
          <w:rFonts w:ascii="仿宋_GB2312" w:eastAsia="仿宋_GB2312" w:hAnsi="华文中宋" w:hint="eastAsia"/>
          <w:szCs w:val="21"/>
        </w:rPr>
        <w:t>“宝益得-丰益”系列理财产品</w:t>
      </w:r>
      <w:r w:rsidRPr="009A1092">
        <w:rPr>
          <w:rFonts w:ascii="仿宋_GB2312" w:eastAsia="仿宋_GB2312" w:hint="eastAsia"/>
          <w:szCs w:val="21"/>
        </w:rPr>
        <w:t>适合于风险类型为</w:t>
      </w:r>
      <w:r>
        <w:rPr>
          <w:rFonts w:ascii="仿宋_GB2312" w:eastAsia="仿宋_GB2312" w:hint="eastAsia"/>
          <w:szCs w:val="21"/>
        </w:rPr>
        <w:t>平衡型</w:t>
      </w:r>
      <w:r w:rsidRPr="009A1092">
        <w:rPr>
          <w:rFonts w:ascii="仿宋_GB2312" w:eastAsia="仿宋_GB2312" w:hint="eastAsia"/>
          <w:szCs w:val="21"/>
        </w:rPr>
        <w:t>（含）以上的、有投资经验或无投资经验的个人投资者；</w:t>
      </w:r>
    </w:p>
    <w:p w:rsidR="002F6E58" w:rsidRPr="00837F23" w:rsidRDefault="002F6E58" w:rsidP="002F6E58">
      <w:pPr>
        <w:ind w:firstLineChars="200" w:firstLine="420"/>
        <w:rPr>
          <w:rFonts w:ascii="仿宋_GB2312" w:eastAsia="仿宋_GB2312"/>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2F6E58" w:rsidRPr="00837F23" w:rsidRDefault="002F6E58" w:rsidP="002F6E58">
      <w:pPr>
        <w:ind w:firstLineChars="200" w:firstLine="420"/>
        <w:rPr>
          <w:rFonts w:ascii="仿宋_GB2312" w:eastAsia="仿宋_GB2312"/>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2F6E58" w:rsidRPr="00837F23" w:rsidRDefault="002F6E58" w:rsidP="002F6E58">
      <w:pPr>
        <w:ind w:firstLineChars="200" w:firstLine="420"/>
        <w:rPr>
          <w:rFonts w:ascii="仿宋_GB2312" w:eastAsia="仿宋_GB2312"/>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2F6E58" w:rsidRPr="00837F23" w:rsidRDefault="002F6E58" w:rsidP="002F6E58">
      <w:pPr>
        <w:ind w:firstLineChars="200" w:firstLine="420"/>
        <w:rPr>
          <w:rFonts w:ascii="仿宋_GB2312" w:eastAsia="仿宋_GB2312"/>
          <w:szCs w:val="21"/>
        </w:rPr>
      </w:pPr>
      <w:r w:rsidRPr="00837F23">
        <w:rPr>
          <w:rFonts w:ascii="仿宋_GB2312" w:eastAsia="仿宋_GB2312" w:hint="eastAsia"/>
          <w:szCs w:val="21"/>
        </w:rPr>
        <w:t>（六）本行产品过往业绩不代表其未来表现，不构成新发理财产品业绩表现的保证。</w:t>
      </w:r>
    </w:p>
    <w:p w:rsidR="002F6E58" w:rsidRPr="00837F23" w:rsidRDefault="002F6E58" w:rsidP="002F6E58">
      <w:pPr>
        <w:ind w:firstLineChars="200" w:firstLine="420"/>
        <w:rPr>
          <w:rFonts w:ascii="仿宋_GB2312" w:eastAsia="仿宋_GB2312"/>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2F6E58" w:rsidRDefault="002F6E58" w:rsidP="002F6E58">
      <w:pPr>
        <w:ind w:firstLineChars="200" w:firstLine="422"/>
        <w:rPr>
          <w:rFonts w:ascii="仿宋_GB2312" w:eastAsia="仿宋_GB2312"/>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2F6E58" w:rsidRPr="004901D4" w:rsidRDefault="002F6E58" w:rsidP="002F6E58">
      <w:pPr>
        <w:ind w:firstLineChars="200" w:firstLine="420"/>
        <w:rPr>
          <w:rFonts w:ascii="仿宋_GB2312" w:eastAsia="仿宋_GB2312"/>
          <w:szCs w:val="21"/>
        </w:rPr>
      </w:pPr>
      <w:r w:rsidRPr="004901D4">
        <w:rPr>
          <w:rFonts w:ascii="仿宋_GB2312" w:eastAsia="仿宋_GB2312" w:hint="eastAsia"/>
          <w:szCs w:val="21"/>
        </w:rPr>
        <w:t xml:space="preserve">（一）理财收益风险：“宝益得-丰益”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2F6E58" w:rsidRPr="004901D4" w:rsidRDefault="002F6E58" w:rsidP="002F6E58">
      <w:pPr>
        <w:ind w:firstLineChars="200" w:firstLine="420"/>
        <w:rPr>
          <w:rFonts w:ascii="仿宋_GB2312" w:eastAsia="仿宋_GB2312"/>
          <w:szCs w:val="21"/>
        </w:rPr>
      </w:pPr>
      <w:r w:rsidRPr="004901D4">
        <w:rPr>
          <w:rFonts w:ascii="仿宋_GB2312" w:eastAsia="仿宋_GB2312" w:hint="eastAsia"/>
          <w:szCs w:val="21"/>
        </w:rPr>
        <w:t>（二）市场风险：“宝益得-丰益”系列理财产品收益不随市场利率波动而调整，客户的收益可能因市场利率变化而相对降低。</w:t>
      </w:r>
    </w:p>
    <w:p w:rsidR="002F6E58" w:rsidRPr="004901D4" w:rsidRDefault="002F6E58" w:rsidP="002F6E58">
      <w:pPr>
        <w:ind w:firstLineChars="200" w:firstLine="420"/>
        <w:rPr>
          <w:rFonts w:ascii="仿宋_GB2312" w:eastAsia="仿宋_GB2312"/>
          <w:szCs w:val="21"/>
        </w:rPr>
      </w:pPr>
      <w:r w:rsidRPr="004901D4">
        <w:rPr>
          <w:rFonts w:ascii="仿宋_GB2312" w:eastAsia="仿宋_GB2312" w:hint="eastAsia"/>
          <w:szCs w:val="21"/>
        </w:rPr>
        <w:t>（三）流动性风险：“宝益得-丰益”系列理财产品在存续期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2F6E58" w:rsidRPr="004901D4" w:rsidRDefault="002F6E58" w:rsidP="002F6E58">
      <w:pPr>
        <w:ind w:firstLineChars="200" w:firstLine="420"/>
        <w:rPr>
          <w:rFonts w:ascii="仿宋_GB2312" w:eastAsia="仿宋_GB2312"/>
          <w:szCs w:val="21"/>
        </w:rPr>
      </w:pPr>
      <w:r w:rsidRPr="004901D4">
        <w:rPr>
          <w:rFonts w:ascii="仿宋_GB2312" w:eastAsia="仿宋_GB2312" w:hint="eastAsia"/>
          <w:szCs w:val="21"/>
        </w:rPr>
        <w:t xml:space="preserve">（四）政策风险：“宝益得-丰益”系列理财产品是针对当前的相关法规和政策设计的。如国家宏观政策以及市场相关法规政策发生变化，可能影响理财产品的受理、投资、偿还等的正常进行，甚至导致本系列理财产品收益降低。 </w:t>
      </w:r>
    </w:p>
    <w:p w:rsidR="002F6E58" w:rsidRPr="004901D4" w:rsidRDefault="002F6E58" w:rsidP="002F6E58">
      <w:pPr>
        <w:ind w:firstLineChars="200" w:firstLine="420"/>
        <w:rPr>
          <w:rFonts w:ascii="仿宋_GB2312" w:eastAsia="仿宋_GB2312"/>
          <w:szCs w:val="21"/>
        </w:rPr>
      </w:pPr>
      <w:r w:rsidRPr="004901D4">
        <w:rPr>
          <w:rFonts w:ascii="仿宋_GB2312" w:eastAsia="仿宋_GB2312" w:hint="eastAsia"/>
          <w:szCs w:val="21"/>
        </w:rPr>
        <w:t>（五）信息传递风险：“宝益得-丰益”系列理财产品存续期内不提供账单，投资者应根据本理财产品说明书所载明的公告方式及时查询本理财产品的相关信息。我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w:t>
      </w:r>
      <w:r w:rsidRPr="004901D4">
        <w:rPr>
          <w:rFonts w:ascii="仿宋_GB2312" w:eastAsia="仿宋_GB2312" w:hint="eastAsia"/>
          <w:szCs w:val="21"/>
        </w:rPr>
        <w:lastRenderedPageBreak/>
        <w:t xml:space="preserve">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2F6E58" w:rsidRPr="004901D4" w:rsidRDefault="002F6E58" w:rsidP="002F6E58">
      <w:pPr>
        <w:ind w:firstLineChars="200" w:firstLine="420"/>
        <w:rPr>
          <w:rFonts w:ascii="仿宋_GB2312" w:eastAsia="仿宋_GB2312"/>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判断难以按照本系列产品说明书规定向客户提供“宝益得-丰益”系列理财产品，我行有权宣布该产品不成立。</w:t>
      </w:r>
    </w:p>
    <w:p w:rsidR="002F6E58" w:rsidRPr="004901D4" w:rsidRDefault="002F6E58" w:rsidP="002F6E58">
      <w:pPr>
        <w:ind w:firstLineChars="200" w:firstLine="420"/>
        <w:rPr>
          <w:rFonts w:ascii="仿宋_GB2312" w:eastAsia="仿宋_GB2312"/>
          <w:szCs w:val="21"/>
        </w:rPr>
      </w:pPr>
      <w:r w:rsidRPr="004901D4">
        <w:rPr>
          <w:rFonts w:ascii="仿宋_GB2312" w:eastAsia="仿宋_GB2312" w:hint="eastAsia"/>
          <w:szCs w:val="21"/>
        </w:rPr>
        <w:t>（七）提前终止风险：如遇国家金融政策重大调整，金融市场价格发生重大波动，经我行判断，将影响到 “宝益得-丰益”系列理财产品的收益时，我行有权提前终止本理财产品。如我行提前终止本期理财产品，则该理财产品的实际理财期可能小于预定期限。如果理财产品提前终止，则投资者将无法实现期初预期的全部收益。</w:t>
      </w:r>
    </w:p>
    <w:p w:rsidR="002F6E58" w:rsidRPr="004901D4" w:rsidRDefault="002F6E58" w:rsidP="002F6E58">
      <w:pPr>
        <w:ind w:firstLineChars="200" w:firstLine="420"/>
        <w:rPr>
          <w:rFonts w:ascii="仿宋_GB2312" w:eastAsia="仿宋_GB2312"/>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丰益”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2F6E58" w:rsidRPr="004901D4" w:rsidRDefault="002F6E58" w:rsidP="002F6E58">
      <w:pPr>
        <w:ind w:firstLineChars="200" w:firstLine="420"/>
        <w:rPr>
          <w:rFonts w:ascii="仿宋_GB2312" w:eastAsia="仿宋_GB2312"/>
          <w:szCs w:val="21"/>
        </w:rPr>
      </w:pPr>
      <w:r w:rsidRPr="004901D4">
        <w:rPr>
          <w:rFonts w:ascii="仿宋_GB2312" w:eastAsia="仿宋_GB2312" w:hint="eastAsia"/>
          <w:szCs w:val="21"/>
        </w:rPr>
        <w:t>（九）不可抗力风险：自然灾害、战争等不可抗力因素的出现，将严重影响金融市场的正常运行，可能影响“宝益得-丰益”系列理财产品的受理、投资、偿还等的正常进行，甚至导致理财产品收益降低甚至收益为零。对于由不可抗力风险所导致的任何损失，由投资者自行承担，我行对此不承担任何责任。</w:t>
      </w:r>
    </w:p>
    <w:p w:rsidR="002F6E58" w:rsidRPr="004901D4" w:rsidRDefault="002F6E58" w:rsidP="002F6E58">
      <w:pPr>
        <w:ind w:firstLineChars="200" w:firstLine="420"/>
        <w:rPr>
          <w:rFonts w:ascii="仿宋_GB2312" w:eastAsia="仿宋_GB2312"/>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2F6E58" w:rsidRPr="004901D4" w:rsidRDefault="002F6E58" w:rsidP="002F6E58">
      <w:pPr>
        <w:ind w:firstLineChars="200" w:firstLine="422"/>
        <w:rPr>
          <w:rFonts w:ascii="仿宋_GB2312" w:eastAsia="仿宋_GB2312"/>
          <w:b/>
          <w:szCs w:val="21"/>
        </w:rPr>
      </w:pPr>
    </w:p>
    <w:p w:rsidR="002F6E58" w:rsidRPr="00837F23" w:rsidRDefault="002F6E58" w:rsidP="002F6E58">
      <w:pPr>
        <w:ind w:firstLineChars="200" w:firstLine="422"/>
        <w:rPr>
          <w:rFonts w:ascii="仿宋_GB2312" w:eastAsia="仿宋_GB2312"/>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2F6E58" w:rsidRPr="00837F23" w:rsidTr="00801A32">
        <w:trPr>
          <w:trHeight w:val="397"/>
        </w:trPr>
        <w:tc>
          <w:tcPr>
            <w:tcW w:w="1246" w:type="dxa"/>
            <w:vMerge w:val="restart"/>
            <w:shd w:val="clear" w:color="auto" w:fill="auto"/>
            <w:vAlign w:val="center"/>
          </w:tcPr>
          <w:p w:rsidR="002F6E58" w:rsidRPr="00837F23" w:rsidRDefault="002F6E58" w:rsidP="00801A32">
            <w:pPr>
              <w:ind w:leftChars="200" w:left="420"/>
              <w:jc w:val="left"/>
              <w:rPr>
                <w:rFonts w:ascii="仿宋_GB2312" w:eastAsia="仿宋_GB2312"/>
                <w:szCs w:val="21"/>
              </w:rPr>
            </w:pPr>
            <w:r w:rsidRPr="00837F23">
              <w:rPr>
                <w:rFonts w:ascii="仿宋_GB2312" w:eastAsia="仿宋_GB2312" w:hint="eastAsia"/>
                <w:szCs w:val="21"/>
              </w:rPr>
              <w:t>产品名称</w:t>
            </w:r>
          </w:p>
        </w:tc>
        <w:tc>
          <w:tcPr>
            <w:tcW w:w="7691" w:type="dxa"/>
            <w:shd w:val="clear" w:color="auto" w:fill="auto"/>
            <w:vAlign w:val="center"/>
          </w:tcPr>
          <w:p w:rsidR="002F6E58" w:rsidRPr="00837F23" w:rsidRDefault="002F6E58" w:rsidP="00801A32">
            <w:pPr>
              <w:ind w:firstLineChars="200" w:firstLine="420"/>
              <w:rPr>
                <w:rFonts w:ascii="仿宋_GB2312" w:eastAsia="仿宋_GB2312"/>
                <w:szCs w:val="21"/>
              </w:rPr>
            </w:pPr>
            <w:r>
              <w:rPr>
                <w:rFonts w:ascii="仿宋_GB2312" w:eastAsia="仿宋_GB2312" w:hint="eastAsia"/>
                <w:szCs w:val="21"/>
              </w:rPr>
              <w:t>2014年度“宝益得-丰益”</w:t>
            </w:r>
            <w:r w:rsidRPr="00837F23">
              <w:rPr>
                <w:rFonts w:ascii="仿宋_GB2312" w:eastAsia="仿宋_GB2312" w:hint="eastAsia"/>
                <w:szCs w:val="21"/>
              </w:rPr>
              <w:t xml:space="preserve"> 第</w:t>
            </w:r>
            <w:r>
              <w:rPr>
                <w:rFonts w:ascii="仿宋_GB2312" w:eastAsia="仿宋_GB2312" w:hint="eastAsia"/>
                <w:szCs w:val="21"/>
              </w:rPr>
              <w:t>12</w:t>
            </w:r>
            <w:r w:rsidRPr="00837F23">
              <w:rPr>
                <w:rFonts w:ascii="仿宋_GB2312" w:eastAsia="仿宋_GB2312" w:hint="eastAsia"/>
                <w:szCs w:val="21"/>
              </w:rPr>
              <w:t>期人民币理财产品</w:t>
            </w:r>
          </w:p>
        </w:tc>
      </w:tr>
      <w:tr w:rsidR="002F6E58" w:rsidRPr="00837F23" w:rsidTr="00801A32">
        <w:trPr>
          <w:trHeight w:val="397"/>
        </w:trPr>
        <w:tc>
          <w:tcPr>
            <w:tcW w:w="1246" w:type="dxa"/>
            <w:vMerge/>
            <w:shd w:val="clear" w:color="auto" w:fill="auto"/>
            <w:vAlign w:val="center"/>
          </w:tcPr>
          <w:p w:rsidR="002F6E58" w:rsidRPr="00837F23" w:rsidRDefault="002F6E58" w:rsidP="00801A32">
            <w:pPr>
              <w:ind w:firstLineChars="200" w:firstLine="420"/>
              <w:rPr>
                <w:rFonts w:ascii="仿宋_GB2312" w:eastAsia="仿宋_GB2312"/>
                <w:szCs w:val="21"/>
              </w:rPr>
            </w:pPr>
          </w:p>
        </w:tc>
        <w:tc>
          <w:tcPr>
            <w:tcW w:w="7691" w:type="dxa"/>
            <w:shd w:val="clear" w:color="auto" w:fill="auto"/>
            <w:vAlign w:val="center"/>
          </w:tcPr>
          <w:p w:rsidR="002F6E58" w:rsidRPr="002407F9" w:rsidRDefault="002F6E58" w:rsidP="00801A32">
            <w:pPr>
              <w:ind w:firstLineChars="200" w:firstLine="420"/>
              <w:jc w:val="left"/>
              <w:rPr>
                <w:rFonts w:ascii="仿宋_GB2312" w:eastAsia="仿宋_GB2312"/>
                <w:szCs w:val="21"/>
              </w:rPr>
            </w:pPr>
            <w:r w:rsidRPr="00837F23">
              <w:rPr>
                <w:rFonts w:ascii="仿宋_GB2312" w:eastAsia="仿宋_GB2312" w:hint="eastAsia"/>
                <w:szCs w:val="21"/>
              </w:rPr>
              <w:t>代码：</w:t>
            </w:r>
            <w:r>
              <w:rPr>
                <w:rFonts w:ascii="仿宋_GB2312" w:eastAsia="仿宋_GB2312" w:hint="eastAsia"/>
                <w:szCs w:val="21"/>
              </w:rPr>
              <w:t xml:space="preserve"> BYDFY1412</w:t>
            </w:r>
          </w:p>
        </w:tc>
      </w:tr>
      <w:tr w:rsidR="002F6E58" w:rsidRPr="00837F23" w:rsidTr="00801A32">
        <w:trPr>
          <w:trHeight w:val="397"/>
        </w:trPr>
        <w:tc>
          <w:tcPr>
            <w:tcW w:w="1246" w:type="dxa"/>
            <w:shd w:val="clear" w:color="auto" w:fill="auto"/>
            <w:vAlign w:val="center"/>
          </w:tcPr>
          <w:p w:rsidR="002F6E58" w:rsidRPr="00837F23" w:rsidRDefault="002F6E58" w:rsidP="00801A32">
            <w:pPr>
              <w:ind w:leftChars="200" w:left="420"/>
              <w:rPr>
                <w:rFonts w:ascii="仿宋_GB2312" w:eastAsia="仿宋_GB2312"/>
                <w:szCs w:val="21"/>
              </w:rPr>
            </w:pPr>
            <w:r w:rsidRPr="00837F23">
              <w:rPr>
                <w:rFonts w:ascii="仿宋_GB2312" w:eastAsia="仿宋_GB2312" w:hint="eastAsia"/>
                <w:szCs w:val="21"/>
              </w:rPr>
              <w:t>产品类型</w:t>
            </w:r>
          </w:p>
        </w:tc>
        <w:tc>
          <w:tcPr>
            <w:tcW w:w="7691" w:type="dxa"/>
            <w:shd w:val="clear" w:color="auto" w:fill="auto"/>
            <w:vAlign w:val="center"/>
          </w:tcPr>
          <w:p w:rsidR="002F6E58" w:rsidRPr="00837F23" w:rsidRDefault="002F6E58" w:rsidP="00801A32">
            <w:pPr>
              <w:ind w:firstLineChars="200" w:firstLine="420"/>
              <w:rPr>
                <w:rFonts w:ascii="仿宋_GB2312" w:eastAsia="仿宋_GB2312"/>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2F6E58" w:rsidRPr="00837F23" w:rsidTr="00801A32">
        <w:trPr>
          <w:trHeight w:val="397"/>
        </w:trPr>
        <w:tc>
          <w:tcPr>
            <w:tcW w:w="1246" w:type="dxa"/>
            <w:shd w:val="clear" w:color="auto" w:fill="auto"/>
            <w:vAlign w:val="center"/>
          </w:tcPr>
          <w:p w:rsidR="002F6E58" w:rsidRPr="00837F23" w:rsidRDefault="002F6E58" w:rsidP="00801A32">
            <w:pPr>
              <w:ind w:leftChars="200" w:left="420"/>
              <w:rPr>
                <w:rFonts w:ascii="仿宋_GB2312" w:eastAsia="仿宋_GB2312"/>
                <w:szCs w:val="21"/>
              </w:rPr>
            </w:pPr>
            <w:r w:rsidRPr="00837F23">
              <w:rPr>
                <w:rFonts w:ascii="仿宋_GB2312" w:eastAsia="仿宋_GB2312" w:hint="eastAsia"/>
                <w:szCs w:val="21"/>
              </w:rPr>
              <w:t>客户类型</w:t>
            </w:r>
          </w:p>
        </w:tc>
        <w:tc>
          <w:tcPr>
            <w:tcW w:w="7691" w:type="dxa"/>
            <w:shd w:val="clear" w:color="auto" w:fill="auto"/>
            <w:vAlign w:val="center"/>
          </w:tcPr>
          <w:p w:rsidR="002F6E58" w:rsidRPr="004901D4" w:rsidRDefault="002F6E58" w:rsidP="00801A32">
            <w:pPr>
              <w:rPr>
                <w:rFonts w:ascii="仿宋_GB2312" w:eastAsia="仿宋_GB2312"/>
                <w:szCs w:val="21"/>
              </w:rPr>
            </w:pPr>
            <w:r>
              <w:rPr>
                <w:rFonts w:ascii="仿宋_GB2312" w:eastAsia="仿宋_GB2312" w:hint="eastAsia"/>
                <w:szCs w:val="21"/>
              </w:rPr>
              <w:t xml:space="preserve"> </w:t>
            </w:r>
            <w:proofErr w:type="gramStart"/>
            <w:r>
              <w:rPr>
                <w:rFonts w:ascii="仿宋_GB2312" w:eastAsia="仿宋_GB2312" w:hint="eastAsia"/>
                <w:szCs w:val="21"/>
              </w:rPr>
              <w:t>“</w:t>
            </w:r>
            <w:proofErr w:type="gramEnd"/>
            <w:r>
              <w:rPr>
                <w:rFonts w:ascii="仿宋_GB2312" w:eastAsia="仿宋_GB2312" w:hint="eastAsia"/>
                <w:szCs w:val="21"/>
              </w:rPr>
              <w:t>宝益得-丰益“系列人民币理财产品适合于</w:t>
            </w:r>
            <w:r w:rsidRPr="009A1092">
              <w:rPr>
                <w:rFonts w:ascii="仿宋_GB2312" w:eastAsia="仿宋_GB2312" w:hint="eastAsia"/>
                <w:szCs w:val="21"/>
              </w:rPr>
              <w:t>风险类型为</w:t>
            </w:r>
            <w:r>
              <w:rPr>
                <w:rFonts w:ascii="仿宋_GB2312" w:eastAsia="仿宋_GB2312" w:hint="eastAsia"/>
                <w:szCs w:val="21"/>
              </w:rPr>
              <w:t>平衡型</w:t>
            </w:r>
            <w:r w:rsidRPr="009A1092">
              <w:rPr>
                <w:rFonts w:ascii="仿宋_GB2312" w:eastAsia="仿宋_GB2312" w:hint="eastAsia"/>
                <w:szCs w:val="21"/>
              </w:rPr>
              <w:t>（含）以上的、</w:t>
            </w:r>
            <w:r w:rsidRPr="00837F23">
              <w:rPr>
                <w:rFonts w:ascii="仿宋_GB2312" w:eastAsia="仿宋_GB2312" w:hint="eastAsia"/>
                <w:szCs w:val="21"/>
              </w:rPr>
              <w:t>有无投资经验的个人投资者均可</w:t>
            </w:r>
          </w:p>
        </w:tc>
      </w:tr>
      <w:tr w:rsidR="002F6E58" w:rsidRPr="00837F23" w:rsidTr="00801A32">
        <w:trPr>
          <w:trHeight w:val="397"/>
        </w:trPr>
        <w:tc>
          <w:tcPr>
            <w:tcW w:w="1246" w:type="dxa"/>
            <w:shd w:val="clear" w:color="auto" w:fill="auto"/>
            <w:vAlign w:val="center"/>
          </w:tcPr>
          <w:p w:rsidR="002F6E58" w:rsidRPr="00837F23" w:rsidRDefault="002F6E58" w:rsidP="00801A32">
            <w:pPr>
              <w:rPr>
                <w:rFonts w:ascii="仿宋_GB2312" w:eastAsia="仿宋_GB2312"/>
                <w:szCs w:val="21"/>
              </w:rPr>
            </w:pPr>
            <w:r w:rsidRPr="00837F23">
              <w:rPr>
                <w:rFonts w:ascii="仿宋_GB2312" w:eastAsia="仿宋_GB2312" w:hint="eastAsia"/>
                <w:szCs w:val="21"/>
              </w:rPr>
              <w:t>投资及收益币种</w:t>
            </w:r>
          </w:p>
        </w:tc>
        <w:tc>
          <w:tcPr>
            <w:tcW w:w="7691" w:type="dxa"/>
            <w:shd w:val="clear" w:color="auto" w:fill="auto"/>
            <w:vAlign w:val="center"/>
          </w:tcPr>
          <w:p w:rsidR="002F6E58" w:rsidRPr="00837F23" w:rsidRDefault="002F6E58" w:rsidP="00801A32">
            <w:pPr>
              <w:ind w:firstLineChars="200" w:firstLine="420"/>
              <w:rPr>
                <w:rFonts w:ascii="仿宋_GB2312" w:eastAsia="仿宋_GB2312"/>
                <w:szCs w:val="21"/>
              </w:rPr>
            </w:pPr>
            <w:r w:rsidRPr="00837F23">
              <w:rPr>
                <w:rFonts w:ascii="仿宋_GB2312" w:eastAsia="仿宋_GB2312" w:hint="eastAsia"/>
                <w:szCs w:val="21"/>
              </w:rPr>
              <w:t>人民币</w:t>
            </w:r>
          </w:p>
        </w:tc>
      </w:tr>
      <w:tr w:rsidR="002F6E58" w:rsidRPr="00837F23" w:rsidTr="00801A32">
        <w:trPr>
          <w:trHeight w:val="397"/>
        </w:trPr>
        <w:tc>
          <w:tcPr>
            <w:tcW w:w="1246" w:type="dxa"/>
            <w:shd w:val="clear" w:color="auto" w:fill="auto"/>
            <w:vAlign w:val="center"/>
          </w:tcPr>
          <w:p w:rsidR="002F6E58" w:rsidRPr="00837F23" w:rsidRDefault="002F6E58" w:rsidP="00801A32">
            <w:pPr>
              <w:ind w:leftChars="200" w:left="420"/>
              <w:rPr>
                <w:rFonts w:ascii="仿宋_GB2312" w:eastAsia="仿宋_GB2312"/>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2F6E58" w:rsidRDefault="002F6E58" w:rsidP="00801A32">
            <w:pPr>
              <w:rPr>
                <w:rFonts w:ascii="仿宋_GB2312" w:eastAsia="仿宋_GB2312"/>
                <w:szCs w:val="21"/>
              </w:rPr>
            </w:pPr>
            <w:r>
              <w:rPr>
                <w:rFonts w:ascii="仿宋_GB2312" w:eastAsia="仿宋_GB2312" w:hint="eastAsia"/>
                <w:szCs w:val="21"/>
              </w:rPr>
              <w:t xml:space="preserve">  182天</w:t>
            </w:r>
          </w:p>
          <w:p w:rsidR="002F6E58" w:rsidRPr="00837F23" w:rsidRDefault="002F6E58" w:rsidP="00801A32">
            <w:pPr>
              <w:rPr>
                <w:rFonts w:ascii="仿宋_GB2312" w:eastAsia="仿宋_GB2312"/>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2F6E58" w:rsidRPr="00837F23" w:rsidRDefault="002F6E58" w:rsidP="002F6E58">
      <w:pPr>
        <w:rPr>
          <w:rFonts w:ascii="仿宋_GB2312" w:eastAsia="仿宋_GB2312"/>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2F6E58" w:rsidRPr="00837F23" w:rsidTr="00801A32">
        <w:trPr>
          <w:cantSplit/>
          <w:trHeight w:val="495"/>
        </w:trPr>
        <w:tc>
          <w:tcPr>
            <w:tcW w:w="1242" w:type="dxa"/>
            <w:vMerge w:val="restart"/>
          </w:tcPr>
          <w:p w:rsidR="002F6E58" w:rsidRPr="00837F23" w:rsidRDefault="002F6E58" w:rsidP="00801A32">
            <w:pPr>
              <w:ind w:firstLineChars="200" w:firstLine="420"/>
              <w:rPr>
                <w:rFonts w:ascii="仿宋_GB2312" w:eastAsia="仿宋_GB2312"/>
                <w:szCs w:val="21"/>
              </w:rPr>
            </w:pPr>
          </w:p>
          <w:p w:rsidR="002F6E58" w:rsidRPr="00837F23" w:rsidRDefault="002F6E58" w:rsidP="00801A32">
            <w:pPr>
              <w:ind w:firstLineChars="200" w:firstLine="420"/>
              <w:rPr>
                <w:rFonts w:ascii="仿宋_GB2312" w:eastAsia="仿宋_GB2312"/>
                <w:szCs w:val="21"/>
              </w:rPr>
            </w:pPr>
          </w:p>
          <w:p w:rsidR="002F6E58" w:rsidRPr="00837F23" w:rsidRDefault="002F6E58" w:rsidP="00801A32">
            <w:pPr>
              <w:rPr>
                <w:rFonts w:ascii="仿宋_GB2312" w:eastAsia="仿宋_GB2312"/>
                <w:szCs w:val="21"/>
              </w:rPr>
            </w:pPr>
          </w:p>
          <w:p w:rsidR="002F6E58" w:rsidRDefault="002F6E58" w:rsidP="00801A32">
            <w:pPr>
              <w:rPr>
                <w:rFonts w:ascii="仿宋_GB2312" w:eastAsia="仿宋_GB2312"/>
                <w:szCs w:val="21"/>
              </w:rPr>
            </w:pPr>
            <w:r w:rsidRPr="00837F23">
              <w:rPr>
                <w:rFonts w:ascii="仿宋_GB2312" w:eastAsia="仿宋_GB2312" w:hint="eastAsia"/>
                <w:szCs w:val="21"/>
              </w:rPr>
              <w:t>内部</w:t>
            </w:r>
          </w:p>
          <w:p w:rsidR="002F6E58" w:rsidRDefault="002F6E58" w:rsidP="00801A32">
            <w:pPr>
              <w:rPr>
                <w:rFonts w:ascii="仿宋_GB2312" w:eastAsia="仿宋_GB2312"/>
                <w:szCs w:val="21"/>
              </w:rPr>
            </w:pPr>
            <w:r w:rsidRPr="00837F23">
              <w:rPr>
                <w:rFonts w:ascii="仿宋_GB2312" w:eastAsia="仿宋_GB2312" w:hint="eastAsia"/>
                <w:szCs w:val="21"/>
              </w:rPr>
              <w:t>风险</w:t>
            </w:r>
          </w:p>
          <w:p w:rsidR="002F6E58" w:rsidRPr="00837F23" w:rsidRDefault="002F6E58" w:rsidP="00801A32">
            <w:pPr>
              <w:rPr>
                <w:rFonts w:ascii="仿宋_GB2312" w:eastAsia="仿宋_GB2312"/>
                <w:szCs w:val="21"/>
              </w:rPr>
            </w:pPr>
            <w:r w:rsidRPr="00837F23">
              <w:rPr>
                <w:rFonts w:ascii="仿宋_GB2312" w:eastAsia="仿宋_GB2312" w:hint="eastAsia"/>
                <w:szCs w:val="21"/>
              </w:rPr>
              <w:t>评级</w:t>
            </w:r>
          </w:p>
        </w:tc>
        <w:tc>
          <w:tcPr>
            <w:tcW w:w="7655" w:type="dxa"/>
            <w:gridSpan w:val="4"/>
          </w:tcPr>
          <w:p w:rsidR="002F6E58" w:rsidRPr="004901D4" w:rsidRDefault="002F6E58" w:rsidP="00801A32">
            <w:pPr>
              <w:rPr>
                <w:rFonts w:ascii="仿宋_GB2312" w:eastAsia="仿宋_GB2312" w:hAnsi="宋体" w:cs="宋体"/>
                <w:b/>
                <w:bCs/>
                <w:szCs w:val="21"/>
              </w:rPr>
            </w:pPr>
            <w:r>
              <w:rPr>
                <w:rFonts w:ascii="仿宋_GB2312" w:eastAsia="仿宋_GB2312" w:hint="eastAsia"/>
                <w:bCs/>
                <w:szCs w:val="21"/>
              </w:rPr>
              <w:t xml:space="preserve"> “</w:t>
            </w:r>
            <w:r w:rsidRPr="004901D4">
              <w:rPr>
                <w:rFonts w:ascii="仿宋_GB2312" w:eastAsia="仿宋_GB2312" w:hint="eastAsia"/>
                <w:bCs/>
                <w:szCs w:val="21"/>
              </w:rPr>
              <w:t>宝益得-丰益</w:t>
            </w:r>
            <w:r>
              <w:rPr>
                <w:rFonts w:ascii="仿宋_GB2312" w:eastAsia="仿宋_GB2312" w:hint="eastAsia"/>
                <w:bCs/>
                <w:szCs w:val="21"/>
              </w:rPr>
              <w:t>”</w:t>
            </w:r>
            <w:r w:rsidRPr="004901D4">
              <w:rPr>
                <w:rFonts w:ascii="仿宋_GB2312" w:eastAsia="仿宋_GB2312" w:hint="eastAsia"/>
                <w:bCs/>
                <w:szCs w:val="21"/>
              </w:rPr>
              <w:t>系列理财产品</w:t>
            </w:r>
            <w:r w:rsidRPr="004901D4">
              <w:rPr>
                <w:rFonts w:ascii="仿宋_GB2312" w:eastAsia="仿宋_GB2312" w:hint="eastAsia"/>
                <w:szCs w:val="21"/>
              </w:rPr>
              <w:t>内部风险评级为：</w:t>
            </w:r>
            <w:r w:rsidRPr="004901D4">
              <w:rPr>
                <w:rFonts w:ascii="仿宋_GB2312" w:eastAsia="仿宋_GB2312" w:hAnsi="宋体" w:cs="宋体" w:hint="eastAsia"/>
                <w:b/>
                <w:bCs/>
                <w:szCs w:val="21"/>
              </w:rPr>
              <w:t>★★★</w:t>
            </w:r>
          </w:p>
          <w:p w:rsidR="002F6E58" w:rsidRPr="00837F23" w:rsidRDefault="002F6E58" w:rsidP="00801A32">
            <w:pPr>
              <w:rPr>
                <w:rFonts w:ascii="仿宋_GB2312" w:eastAsia="仿宋_GB2312"/>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2F6E58" w:rsidRPr="00837F23" w:rsidTr="00801A32">
        <w:trPr>
          <w:cantSplit/>
          <w:trHeight w:val="337"/>
        </w:trPr>
        <w:tc>
          <w:tcPr>
            <w:tcW w:w="1242" w:type="dxa"/>
            <w:vMerge/>
          </w:tcPr>
          <w:p w:rsidR="002F6E58" w:rsidRPr="00837F23" w:rsidRDefault="002F6E58" w:rsidP="00801A32">
            <w:pPr>
              <w:ind w:firstLineChars="200" w:firstLine="420"/>
              <w:rPr>
                <w:rFonts w:ascii="仿宋_GB2312" w:eastAsia="仿宋_GB2312"/>
                <w:szCs w:val="21"/>
              </w:rPr>
            </w:pPr>
          </w:p>
        </w:tc>
        <w:tc>
          <w:tcPr>
            <w:tcW w:w="2410" w:type="dxa"/>
          </w:tcPr>
          <w:p w:rsidR="002F6E58" w:rsidRPr="00837F23" w:rsidRDefault="002F6E58" w:rsidP="00801A32">
            <w:pPr>
              <w:rPr>
                <w:rFonts w:ascii="仿宋_GB2312" w:eastAsia="仿宋_GB2312"/>
                <w:szCs w:val="21"/>
              </w:rPr>
            </w:pPr>
            <w:r w:rsidRPr="00837F23">
              <w:rPr>
                <w:rFonts w:ascii="仿宋_GB2312" w:eastAsia="仿宋_GB2312" w:hint="eastAsia"/>
                <w:bCs/>
                <w:szCs w:val="21"/>
              </w:rPr>
              <w:t>产品风险星级</w:t>
            </w:r>
          </w:p>
        </w:tc>
        <w:tc>
          <w:tcPr>
            <w:tcW w:w="1124" w:type="dxa"/>
          </w:tcPr>
          <w:p w:rsidR="002F6E58" w:rsidRPr="00837F23" w:rsidRDefault="002F6E58" w:rsidP="00801A32">
            <w:pPr>
              <w:rPr>
                <w:rFonts w:ascii="仿宋_GB2312" w:eastAsia="仿宋_GB2312"/>
                <w:szCs w:val="21"/>
              </w:rPr>
            </w:pPr>
            <w:r w:rsidRPr="00837F23">
              <w:rPr>
                <w:rFonts w:ascii="仿宋_GB2312" w:eastAsia="仿宋_GB2312" w:hint="eastAsia"/>
                <w:bCs/>
                <w:szCs w:val="21"/>
              </w:rPr>
              <w:t>风险程度</w:t>
            </w:r>
          </w:p>
        </w:tc>
        <w:tc>
          <w:tcPr>
            <w:tcW w:w="1424" w:type="dxa"/>
          </w:tcPr>
          <w:p w:rsidR="002F6E58" w:rsidRPr="00837F23" w:rsidRDefault="002F6E58" w:rsidP="00801A32">
            <w:pPr>
              <w:rPr>
                <w:rFonts w:ascii="仿宋_GB2312" w:eastAsia="仿宋_GB2312"/>
                <w:szCs w:val="21"/>
              </w:rPr>
            </w:pPr>
            <w:r w:rsidRPr="00837F23">
              <w:rPr>
                <w:rFonts w:ascii="仿宋_GB2312" w:eastAsia="仿宋_GB2312" w:hint="eastAsia"/>
                <w:bCs/>
                <w:szCs w:val="21"/>
              </w:rPr>
              <w:t>适合投资者</w:t>
            </w:r>
          </w:p>
        </w:tc>
        <w:tc>
          <w:tcPr>
            <w:tcW w:w="2697" w:type="dxa"/>
          </w:tcPr>
          <w:p w:rsidR="002F6E58" w:rsidRPr="00837F23" w:rsidRDefault="002F6E58" w:rsidP="00801A32">
            <w:pPr>
              <w:rPr>
                <w:rFonts w:ascii="仿宋_GB2312" w:eastAsia="仿宋_GB2312"/>
                <w:szCs w:val="21"/>
              </w:rPr>
            </w:pPr>
            <w:r w:rsidRPr="00837F23">
              <w:rPr>
                <w:rFonts w:ascii="仿宋_GB2312" w:eastAsia="仿宋_GB2312" w:hint="eastAsia"/>
                <w:bCs/>
                <w:szCs w:val="21"/>
              </w:rPr>
              <w:t>适合投资策略</w:t>
            </w:r>
          </w:p>
        </w:tc>
      </w:tr>
      <w:tr w:rsidR="002F6E58" w:rsidRPr="00837F23" w:rsidTr="00801A32">
        <w:trPr>
          <w:cantSplit/>
          <w:trHeight w:val="271"/>
        </w:trPr>
        <w:tc>
          <w:tcPr>
            <w:tcW w:w="1242" w:type="dxa"/>
            <w:vMerge/>
          </w:tcPr>
          <w:p w:rsidR="002F6E58" w:rsidRPr="00837F23" w:rsidRDefault="002F6E58" w:rsidP="00801A32">
            <w:pPr>
              <w:ind w:firstLineChars="200" w:firstLine="420"/>
              <w:rPr>
                <w:rFonts w:ascii="仿宋_GB2312" w:eastAsia="仿宋_GB2312"/>
                <w:szCs w:val="21"/>
              </w:rPr>
            </w:pPr>
          </w:p>
        </w:tc>
        <w:tc>
          <w:tcPr>
            <w:tcW w:w="2410" w:type="dxa"/>
          </w:tcPr>
          <w:p w:rsidR="002F6E58" w:rsidRPr="00837F23" w:rsidRDefault="002F6E58" w:rsidP="00801A32">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2F6E58" w:rsidRPr="00837F23" w:rsidRDefault="002F6E58" w:rsidP="00801A32">
            <w:pPr>
              <w:rPr>
                <w:rFonts w:ascii="仿宋_GB2312" w:eastAsia="仿宋_GB2312"/>
                <w:szCs w:val="21"/>
              </w:rPr>
            </w:pPr>
            <w:r w:rsidRPr="00837F23">
              <w:rPr>
                <w:rFonts w:ascii="仿宋_GB2312" w:eastAsia="仿宋_GB2312" w:hint="eastAsia"/>
                <w:bCs/>
                <w:szCs w:val="21"/>
              </w:rPr>
              <w:t>低</w:t>
            </w:r>
          </w:p>
        </w:tc>
        <w:tc>
          <w:tcPr>
            <w:tcW w:w="1424" w:type="dxa"/>
          </w:tcPr>
          <w:p w:rsidR="002F6E58" w:rsidRPr="00837F23" w:rsidRDefault="002F6E58" w:rsidP="00801A32">
            <w:pPr>
              <w:rPr>
                <w:rFonts w:ascii="仿宋_GB2312" w:eastAsia="仿宋_GB2312"/>
                <w:szCs w:val="21"/>
              </w:rPr>
            </w:pPr>
            <w:r w:rsidRPr="00837F23">
              <w:rPr>
                <w:rFonts w:ascii="仿宋_GB2312" w:eastAsia="仿宋_GB2312" w:hint="eastAsia"/>
                <w:bCs/>
                <w:szCs w:val="21"/>
              </w:rPr>
              <w:t>保守型</w:t>
            </w:r>
          </w:p>
        </w:tc>
        <w:tc>
          <w:tcPr>
            <w:tcW w:w="2697" w:type="dxa"/>
          </w:tcPr>
          <w:p w:rsidR="002F6E58" w:rsidRPr="00837F23" w:rsidRDefault="002F6E58" w:rsidP="00801A32">
            <w:pPr>
              <w:rPr>
                <w:rFonts w:ascii="仿宋_GB2312" w:eastAsia="仿宋_GB2312"/>
                <w:szCs w:val="21"/>
              </w:rPr>
            </w:pPr>
            <w:r w:rsidRPr="00837F23">
              <w:rPr>
                <w:rFonts w:ascii="仿宋_GB2312" w:eastAsia="仿宋_GB2312" w:hint="eastAsia"/>
                <w:bCs/>
                <w:szCs w:val="21"/>
              </w:rPr>
              <w:t>风险控制</w:t>
            </w:r>
          </w:p>
        </w:tc>
      </w:tr>
      <w:tr w:rsidR="002F6E58" w:rsidRPr="00837F23" w:rsidTr="00801A32">
        <w:trPr>
          <w:cantSplit/>
          <w:trHeight w:val="233"/>
        </w:trPr>
        <w:tc>
          <w:tcPr>
            <w:tcW w:w="1242" w:type="dxa"/>
            <w:vMerge/>
          </w:tcPr>
          <w:p w:rsidR="002F6E58" w:rsidRPr="00837F23" w:rsidRDefault="002F6E58" w:rsidP="00801A32">
            <w:pPr>
              <w:ind w:firstLineChars="200" w:firstLine="420"/>
              <w:rPr>
                <w:rFonts w:ascii="仿宋_GB2312" w:eastAsia="仿宋_GB2312"/>
                <w:szCs w:val="21"/>
              </w:rPr>
            </w:pPr>
          </w:p>
        </w:tc>
        <w:tc>
          <w:tcPr>
            <w:tcW w:w="2410" w:type="dxa"/>
          </w:tcPr>
          <w:p w:rsidR="002F6E58" w:rsidRPr="00837F23" w:rsidRDefault="002F6E58" w:rsidP="00801A32">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2F6E58" w:rsidRPr="00837F23" w:rsidRDefault="002F6E58" w:rsidP="00801A32">
            <w:pPr>
              <w:rPr>
                <w:rFonts w:ascii="仿宋_GB2312" w:eastAsia="仿宋_GB2312"/>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2F6E58" w:rsidRPr="00837F23" w:rsidRDefault="002F6E58" w:rsidP="00801A32">
            <w:pPr>
              <w:rPr>
                <w:rFonts w:ascii="仿宋_GB2312" w:eastAsia="仿宋_GB2312"/>
                <w:szCs w:val="21"/>
              </w:rPr>
            </w:pPr>
            <w:r w:rsidRPr="00837F23">
              <w:rPr>
                <w:rFonts w:ascii="仿宋_GB2312" w:eastAsia="仿宋_GB2312" w:hint="eastAsia"/>
                <w:bCs/>
                <w:szCs w:val="21"/>
              </w:rPr>
              <w:t>稳健型</w:t>
            </w:r>
          </w:p>
        </w:tc>
        <w:tc>
          <w:tcPr>
            <w:tcW w:w="2697" w:type="dxa"/>
          </w:tcPr>
          <w:p w:rsidR="002F6E58" w:rsidRPr="00837F23" w:rsidRDefault="002F6E58" w:rsidP="00801A32">
            <w:pPr>
              <w:rPr>
                <w:rFonts w:ascii="仿宋_GB2312" w:eastAsia="仿宋_GB2312"/>
                <w:szCs w:val="21"/>
              </w:rPr>
            </w:pPr>
            <w:r w:rsidRPr="00837F23">
              <w:rPr>
                <w:rFonts w:ascii="仿宋_GB2312" w:eastAsia="仿宋_GB2312" w:hint="eastAsia"/>
                <w:bCs/>
                <w:szCs w:val="21"/>
              </w:rPr>
              <w:t>稳健发展</w:t>
            </w:r>
          </w:p>
        </w:tc>
      </w:tr>
      <w:tr w:rsidR="002F6E58" w:rsidRPr="00837F23" w:rsidTr="00801A32">
        <w:trPr>
          <w:cantSplit/>
          <w:trHeight w:val="337"/>
        </w:trPr>
        <w:tc>
          <w:tcPr>
            <w:tcW w:w="1242" w:type="dxa"/>
            <w:vMerge/>
          </w:tcPr>
          <w:p w:rsidR="002F6E58" w:rsidRPr="00837F23" w:rsidRDefault="002F6E58" w:rsidP="00801A32">
            <w:pPr>
              <w:ind w:firstLineChars="200" w:firstLine="420"/>
              <w:rPr>
                <w:rFonts w:ascii="仿宋_GB2312" w:eastAsia="仿宋_GB2312"/>
                <w:szCs w:val="21"/>
              </w:rPr>
            </w:pPr>
          </w:p>
        </w:tc>
        <w:tc>
          <w:tcPr>
            <w:tcW w:w="2410" w:type="dxa"/>
          </w:tcPr>
          <w:p w:rsidR="002F6E58" w:rsidRPr="00837F23" w:rsidRDefault="002F6E58" w:rsidP="00801A32">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2F6E58" w:rsidRPr="00837F23" w:rsidRDefault="002F6E58" w:rsidP="00801A32">
            <w:pPr>
              <w:rPr>
                <w:rFonts w:ascii="仿宋_GB2312" w:eastAsia="仿宋_GB2312"/>
                <w:szCs w:val="21"/>
              </w:rPr>
            </w:pPr>
            <w:r w:rsidRPr="00837F23">
              <w:rPr>
                <w:rFonts w:ascii="仿宋_GB2312" w:eastAsia="仿宋_GB2312" w:hint="eastAsia"/>
                <w:bCs/>
                <w:szCs w:val="21"/>
              </w:rPr>
              <w:t>中</w:t>
            </w:r>
          </w:p>
        </w:tc>
        <w:tc>
          <w:tcPr>
            <w:tcW w:w="1424" w:type="dxa"/>
          </w:tcPr>
          <w:p w:rsidR="002F6E58" w:rsidRPr="00837F23" w:rsidRDefault="002F6E58" w:rsidP="00801A32">
            <w:pPr>
              <w:rPr>
                <w:rFonts w:ascii="仿宋_GB2312" w:eastAsia="仿宋_GB2312"/>
                <w:szCs w:val="21"/>
              </w:rPr>
            </w:pPr>
            <w:r w:rsidRPr="00837F23">
              <w:rPr>
                <w:rFonts w:ascii="仿宋_GB2312" w:eastAsia="仿宋_GB2312" w:hint="eastAsia"/>
                <w:bCs/>
                <w:szCs w:val="21"/>
              </w:rPr>
              <w:t>平衡型</w:t>
            </w:r>
          </w:p>
        </w:tc>
        <w:tc>
          <w:tcPr>
            <w:tcW w:w="2697" w:type="dxa"/>
          </w:tcPr>
          <w:p w:rsidR="002F6E58" w:rsidRPr="00837F23" w:rsidRDefault="002F6E58" w:rsidP="00801A32">
            <w:pPr>
              <w:rPr>
                <w:rFonts w:ascii="仿宋_GB2312" w:eastAsia="仿宋_GB2312"/>
                <w:szCs w:val="21"/>
              </w:rPr>
            </w:pPr>
            <w:proofErr w:type="gramStart"/>
            <w:r w:rsidRPr="00837F23">
              <w:rPr>
                <w:rFonts w:ascii="仿宋_GB2312" w:eastAsia="仿宋_GB2312" w:hint="eastAsia"/>
                <w:bCs/>
                <w:szCs w:val="21"/>
              </w:rPr>
              <w:t>平衡成长</w:t>
            </w:r>
            <w:proofErr w:type="gramEnd"/>
          </w:p>
        </w:tc>
      </w:tr>
      <w:tr w:rsidR="002F6E58" w:rsidRPr="00837F23" w:rsidTr="00801A32">
        <w:trPr>
          <w:cantSplit/>
          <w:trHeight w:val="271"/>
        </w:trPr>
        <w:tc>
          <w:tcPr>
            <w:tcW w:w="1242" w:type="dxa"/>
            <w:vMerge/>
          </w:tcPr>
          <w:p w:rsidR="002F6E58" w:rsidRPr="00837F23" w:rsidRDefault="002F6E58" w:rsidP="00801A32">
            <w:pPr>
              <w:ind w:firstLineChars="200" w:firstLine="420"/>
              <w:rPr>
                <w:rFonts w:ascii="仿宋_GB2312" w:eastAsia="仿宋_GB2312"/>
                <w:szCs w:val="21"/>
              </w:rPr>
            </w:pPr>
          </w:p>
        </w:tc>
        <w:tc>
          <w:tcPr>
            <w:tcW w:w="2410" w:type="dxa"/>
          </w:tcPr>
          <w:p w:rsidR="002F6E58" w:rsidRPr="00837F23" w:rsidRDefault="002F6E58" w:rsidP="00801A32">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2F6E58" w:rsidRPr="00837F23" w:rsidRDefault="002F6E58" w:rsidP="00801A32">
            <w:pPr>
              <w:rPr>
                <w:rFonts w:ascii="仿宋_GB2312" w:eastAsia="仿宋_GB2312"/>
                <w:szCs w:val="21"/>
              </w:rPr>
            </w:pPr>
            <w:r w:rsidRPr="00837F23">
              <w:rPr>
                <w:rFonts w:ascii="仿宋_GB2312" w:eastAsia="仿宋_GB2312" w:hint="eastAsia"/>
                <w:bCs/>
                <w:szCs w:val="21"/>
              </w:rPr>
              <w:t>较高</w:t>
            </w:r>
          </w:p>
        </w:tc>
        <w:tc>
          <w:tcPr>
            <w:tcW w:w="1424" w:type="dxa"/>
          </w:tcPr>
          <w:p w:rsidR="002F6E58" w:rsidRPr="00837F23" w:rsidRDefault="002F6E58" w:rsidP="00801A32">
            <w:pPr>
              <w:rPr>
                <w:rFonts w:ascii="仿宋_GB2312" w:eastAsia="仿宋_GB2312"/>
                <w:szCs w:val="21"/>
              </w:rPr>
            </w:pPr>
            <w:r w:rsidRPr="00837F23">
              <w:rPr>
                <w:rFonts w:ascii="仿宋_GB2312" w:eastAsia="仿宋_GB2312" w:hint="eastAsia"/>
                <w:bCs/>
                <w:szCs w:val="21"/>
              </w:rPr>
              <w:t>成长型</w:t>
            </w:r>
          </w:p>
        </w:tc>
        <w:tc>
          <w:tcPr>
            <w:tcW w:w="2697" w:type="dxa"/>
          </w:tcPr>
          <w:p w:rsidR="002F6E58" w:rsidRPr="00837F23" w:rsidRDefault="002F6E58" w:rsidP="00801A32">
            <w:pPr>
              <w:rPr>
                <w:rFonts w:ascii="仿宋_GB2312" w:eastAsia="仿宋_GB2312"/>
                <w:szCs w:val="21"/>
              </w:rPr>
            </w:pPr>
            <w:r w:rsidRPr="00837F23">
              <w:rPr>
                <w:rFonts w:ascii="仿宋_GB2312" w:eastAsia="仿宋_GB2312" w:hint="eastAsia"/>
                <w:bCs/>
                <w:szCs w:val="21"/>
              </w:rPr>
              <w:t>积极进取</w:t>
            </w:r>
          </w:p>
        </w:tc>
      </w:tr>
      <w:tr w:rsidR="002F6E58" w:rsidRPr="00837F23" w:rsidTr="00801A32">
        <w:trPr>
          <w:cantSplit/>
          <w:trHeight w:val="233"/>
        </w:trPr>
        <w:tc>
          <w:tcPr>
            <w:tcW w:w="1242" w:type="dxa"/>
            <w:vMerge/>
          </w:tcPr>
          <w:p w:rsidR="002F6E58" w:rsidRPr="00837F23" w:rsidRDefault="002F6E58" w:rsidP="00801A32">
            <w:pPr>
              <w:ind w:firstLineChars="200" w:firstLine="420"/>
              <w:rPr>
                <w:rFonts w:ascii="仿宋_GB2312" w:eastAsia="仿宋_GB2312"/>
                <w:szCs w:val="21"/>
              </w:rPr>
            </w:pPr>
          </w:p>
        </w:tc>
        <w:tc>
          <w:tcPr>
            <w:tcW w:w="2410" w:type="dxa"/>
          </w:tcPr>
          <w:p w:rsidR="002F6E58" w:rsidRPr="00837F23" w:rsidRDefault="002F6E58" w:rsidP="00801A32">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2F6E58" w:rsidRPr="00837F23" w:rsidRDefault="002F6E58" w:rsidP="00801A32">
            <w:pPr>
              <w:rPr>
                <w:rFonts w:ascii="仿宋_GB2312" w:eastAsia="仿宋_GB2312"/>
                <w:szCs w:val="21"/>
              </w:rPr>
            </w:pPr>
            <w:r w:rsidRPr="00837F23">
              <w:rPr>
                <w:rFonts w:ascii="仿宋_GB2312" w:eastAsia="仿宋_GB2312" w:hint="eastAsia"/>
                <w:bCs/>
                <w:szCs w:val="21"/>
              </w:rPr>
              <w:t>高</w:t>
            </w:r>
          </w:p>
        </w:tc>
        <w:tc>
          <w:tcPr>
            <w:tcW w:w="1424" w:type="dxa"/>
          </w:tcPr>
          <w:p w:rsidR="002F6E58" w:rsidRPr="00837F23" w:rsidRDefault="002F6E58" w:rsidP="00801A32">
            <w:pPr>
              <w:rPr>
                <w:rFonts w:ascii="仿宋_GB2312" w:eastAsia="仿宋_GB2312"/>
                <w:szCs w:val="21"/>
              </w:rPr>
            </w:pPr>
            <w:r w:rsidRPr="00837F23">
              <w:rPr>
                <w:rFonts w:ascii="仿宋_GB2312" w:eastAsia="仿宋_GB2312" w:hint="eastAsia"/>
                <w:bCs/>
                <w:szCs w:val="21"/>
              </w:rPr>
              <w:t>进取型</w:t>
            </w:r>
          </w:p>
        </w:tc>
        <w:tc>
          <w:tcPr>
            <w:tcW w:w="2697" w:type="dxa"/>
          </w:tcPr>
          <w:p w:rsidR="002F6E58" w:rsidRPr="00837F23" w:rsidRDefault="002F6E58" w:rsidP="00801A32">
            <w:pPr>
              <w:rPr>
                <w:rFonts w:ascii="仿宋_GB2312" w:eastAsia="仿宋_GB2312"/>
                <w:szCs w:val="21"/>
              </w:rPr>
            </w:pPr>
            <w:r w:rsidRPr="00837F23">
              <w:rPr>
                <w:rFonts w:ascii="仿宋_GB2312" w:eastAsia="仿宋_GB2312" w:hint="eastAsia"/>
                <w:bCs/>
                <w:szCs w:val="21"/>
              </w:rPr>
              <w:t>风险承受</w:t>
            </w:r>
          </w:p>
        </w:tc>
      </w:tr>
    </w:tbl>
    <w:p w:rsidR="002F6E58" w:rsidRPr="00837F23" w:rsidRDefault="002F6E58" w:rsidP="002F6E58">
      <w:pPr>
        <w:spacing w:line="500" w:lineRule="exact"/>
        <w:ind w:firstLineChars="200" w:firstLine="482"/>
        <w:rPr>
          <w:rFonts w:ascii="仿宋_GB2312" w:eastAsia="仿宋_GB2312"/>
          <w:b/>
          <w:sz w:val="24"/>
        </w:rPr>
      </w:pPr>
      <w:r w:rsidRPr="00837F23">
        <w:rPr>
          <w:rFonts w:ascii="仿宋_GB2312" w:eastAsia="仿宋_GB2312" w:hint="eastAsia"/>
          <w:b/>
          <w:sz w:val="24"/>
        </w:rPr>
        <w:lastRenderedPageBreak/>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2F6E58" w:rsidRPr="00837F23" w:rsidRDefault="002F6E58" w:rsidP="002F6E58">
      <w:pPr>
        <w:spacing w:line="500" w:lineRule="exact"/>
        <w:ind w:firstLineChars="1400" w:firstLine="3360"/>
        <w:rPr>
          <w:rFonts w:ascii="仿宋_GB2312" w:eastAsia="仿宋_GB2312"/>
          <w:sz w:val="24"/>
        </w:rPr>
      </w:pPr>
      <w:r w:rsidRPr="00837F23">
        <w:rPr>
          <w:rFonts w:ascii="仿宋_GB2312" w:eastAsia="仿宋_GB2312" w:hint="eastAsia"/>
          <w:sz w:val="24"/>
        </w:rPr>
        <w:t xml:space="preserve">风险提示方： 天津农村商业银行股份有限公司 </w:t>
      </w:r>
    </w:p>
    <w:p w:rsidR="002F6E58" w:rsidRPr="00837F23" w:rsidRDefault="002F6E58" w:rsidP="002F6E58">
      <w:pPr>
        <w:spacing w:line="500" w:lineRule="exact"/>
        <w:rPr>
          <w:rFonts w:ascii="仿宋_GB2312" w:eastAsia="仿宋_GB2312"/>
          <w:b/>
          <w:sz w:val="28"/>
          <w:szCs w:val="28"/>
          <w:u w:val="single"/>
        </w:rPr>
      </w:pPr>
    </w:p>
    <w:p w:rsidR="002F6E58" w:rsidRPr="00837F23" w:rsidRDefault="002F6E58" w:rsidP="002F6E58">
      <w:pPr>
        <w:spacing w:line="500" w:lineRule="exact"/>
        <w:rPr>
          <w:rFonts w:ascii="仿宋_GB2312" w:eastAsia="仿宋_GB2312"/>
          <w:b/>
          <w:sz w:val="28"/>
          <w:szCs w:val="28"/>
          <w:u w:val="single"/>
        </w:rPr>
      </w:pPr>
    </w:p>
    <w:p w:rsidR="002F6E58" w:rsidRPr="00837F23" w:rsidRDefault="002F6E58" w:rsidP="002F6E58">
      <w:pPr>
        <w:spacing w:line="500" w:lineRule="exact"/>
        <w:ind w:firstLineChars="200" w:firstLine="562"/>
        <w:jc w:val="center"/>
        <w:rPr>
          <w:rFonts w:ascii="仿宋_GB2312" w:eastAsia="仿宋_GB2312"/>
          <w:b/>
          <w:sz w:val="28"/>
          <w:szCs w:val="28"/>
          <w:u w:val="single"/>
        </w:rPr>
      </w:pPr>
      <w:r w:rsidRPr="00837F23">
        <w:rPr>
          <w:rFonts w:ascii="仿宋_GB2312" w:eastAsia="仿宋_GB2312" w:hint="eastAsia"/>
          <w:b/>
          <w:sz w:val="28"/>
          <w:szCs w:val="28"/>
          <w:u w:val="single"/>
        </w:rPr>
        <w:t>客户确认栏</w:t>
      </w:r>
    </w:p>
    <w:p w:rsidR="002F6E58" w:rsidRPr="00837F23" w:rsidRDefault="002F6E58" w:rsidP="002F6E58">
      <w:pPr>
        <w:spacing w:line="500" w:lineRule="exact"/>
        <w:ind w:firstLineChars="200" w:firstLine="562"/>
        <w:jc w:val="center"/>
        <w:rPr>
          <w:rFonts w:ascii="仿宋_GB2312" w:eastAsia="仿宋_GB2312"/>
          <w:b/>
          <w:sz w:val="28"/>
          <w:szCs w:val="28"/>
          <w:u w:val="single"/>
        </w:rPr>
      </w:pPr>
    </w:p>
    <w:p w:rsidR="002F6E58" w:rsidRPr="00837F23" w:rsidRDefault="002F6E58" w:rsidP="002F6E58">
      <w:pPr>
        <w:spacing w:line="500" w:lineRule="exact"/>
        <w:ind w:firstLineChars="200" w:firstLine="480"/>
        <w:rPr>
          <w:rFonts w:ascii="仿宋_GB2312" w:eastAsia="仿宋_GB2312"/>
          <w:sz w:val="24"/>
        </w:rPr>
      </w:pPr>
      <w:r w:rsidRPr="00837F23">
        <w:rPr>
          <w:rFonts w:ascii="仿宋_GB2312" w:eastAsia="仿宋_GB2312" w:hint="eastAsia"/>
          <w:sz w:val="24"/>
        </w:rPr>
        <w:t xml:space="preserve">客户确认如下： </w:t>
      </w:r>
    </w:p>
    <w:p w:rsidR="002F6E58" w:rsidRPr="00837F23" w:rsidRDefault="002F6E58" w:rsidP="002F6E58">
      <w:pPr>
        <w:spacing w:line="500" w:lineRule="exact"/>
        <w:ind w:firstLineChars="200" w:firstLine="480"/>
        <w:rPr>
          <w:rFonts w:ascii="仿宋_GB2312" w:eastAsia="仿宋_GB2312"/>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2F6E58" w:rsidRPr="00837F23" w:rsidRDefault="002F6E58" w:rsidP="002F6E58">
      <w:pPr>
        <w:spacing w:line="500" w:lineRule="exact"/>
        <w:ind w:firstLineChars="150" w:firstLine="360"/>
        <w:rPr>
          <w:rFonts w:ascii="仿宋_GB2312" w:eastAsia="仿宋_GB2312"/>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2F6E58" w:rsidRPr="00837F23" w:rsidRDefault="002F6E58" w:rsidP="002F6E58">
      <w:pPr>
        <w:spacing w:line="500" w:lineRule="exact"/>
        <w:ind w:firstLineChars="200" w:firstLine="480"/>
        <w:rPr>
          <w:rFonts w:ascii="仿宋_GB2312" w:eastAsia="仿宋_GB2312"/>
          <w:sz w:val="24"/>
          <w:u w:val="single"/>
        </w:rPr>
      </w:pPr>
      <w:r w:rsidRPr="00837F23">
        <w:rPr>
          <w:rFonts w:ascii="仿宋_GB2312" w:eastAsia="仿宋_GB2312" w:hint="eastAsia"/>
          <w:sz w:val="24"/>
          <w:u w:val="single"/>
        </w:rPr>
        <w:t xml:space="preserve">                                                                   </w:t>
      </w:r>
    </w:p>
    <w:p w:rsidR="002F6E58" w:rsidRPr="00837F23" w:rsidRDefault="002F6E58" w:rsidP="002F6E58">
      <w:pPr>
        <w:spacing w:line="500" w:lineRule="exact"/>
        <w:ind w:right="360" w:firstLineChars="200" w:firstLine="480"/>
        <w:jc w:val="right"/>
        <w:rPr>
          <w:rFonts w:ascii="仿宋_GB2312" w:eastAsia="仿宋_GB2312"/>
          <w:sz w:val="24"/>
        </w:rPr>
      </w:pPr>
      <w:r w:rsidRPr="00837F23">
        <w:rPr>
          <w:rFonts w:ascii="仿宋_GB2312" w:eastAsia="仿宋_GB2312" w:hint="eastAsia"/>
          <w:sz w:val="24"/>
        </w:rPr>
        <w:t xml:space="preserve">确认人（签字）： </w:t>
      </w:r>
    </w:p>
    <w:p w:rsidR="002F6E58" w:rsidRPr="00837F23" w:rsidRDefault="002F6E58" w:rsidP="002F6E58">
      <w:pPr>
        <w:spacing w:line="500" w:lineRule="exact"/>
        <w:ind w:right="120" w:firstLineChars="200" w:firstLine="480"/>
        <w:jc w:val="right"/>
        <w:rPr>
          <w:rFonts w:ascii="仿宋_GB2312" w:eastAsia="仿宋_GB2312"/>
          <w:sz w:val="24"/>
        </w:rPr>
      </w:pPr>
      <w:r w:rsidRPr="00837F23">
        <w:rPr>
          <w:rFonts w:ascii="仿宋_GB2312" w:eastAsia="仿宋_GB2312" w:hint="eastAsia"/>
          <w:sz w:val="24"/>
        </w:rPr>
        <w:t>日期： 年  月  日</w:t>
      </w:r>
    </w:p>
    <w:p w:rsidR="002F6E58" w:rsidRPr="00837F23" w:rsidRDefault="002F6E58" w:rsidP="002F6E58">
      <w:pPr>
        <w:spacing w:line="500" w:lineRule="exact"/>
        <w:ind w:right="120" w:firstLineChars="200" w:firstLine="480"/>
        <w:jc w:val="right"/>
        <w:rPr>
          <w:rFonts w:ascii="仿宋_GB2312" w:eastAsia="仿宋_GB2312"/>
          <w:sz w:val="24"/>
        </w:rPr>
      </w:pPr>
    </w:p>
    <w:p w:rsidR="002F6E58" w:rsidRPr="00837F23" w:rsidRDefault="002F6E58" w:rsidP="002F6E58">
      <w:pPr>
        <w:spacing w:line="500" w:lineRule="exact"/>
        <w:ind w:right="1080"/>
        <w:rPr>
          <w:rFonts w:ascii="仿宋_GB2312" w:eastAsia="仿宋_GB2312"/>
          <w:sz w:val="24"/>
        </w:rPr>
      </w:pPr>
    </w:p>
    <w:p w:rsidR="002F6E58" w:rsidRPr="00837F23" w:rsidRDefault="002F6E58" w:rsidP="002F6E58">
      <w:pPr>
        <w:spacing w:line="500" w:lineRule="exact"/>
        <w:ind w:right="120" w:firstLineChars="200" w:firstLine="480"/>
        <w:jc w:val="right"/>
        <w:rPr>
          <w:rFonts w:ascii="仿宋_GB2312" w:eastAsia="仿宋_GB2312"/>
          <w:sz w:val="24"/>
        </w:rPr>
      </w:pPr>
    </w:p>
    <w:p w:rsidR="002F6E58" w:rsidRPr="00837F23" w:rsidRDefault="002F6E58" w:rsidP="002F6E58">
      <w:pPr>
        <w:spacing w:line="500" w:lineRule="exact"/>
        <w:ind w:right="120" w:firstLineChars="200" w:firstLine="480"/>
        <w:jc w:val="right"/>
        <w:rPr>
          <w:rFonts w:ascii="仿宋_GB2312" w:eastAsia="仿宋_GB2312"/>
          <w:sz w:val="24"/>
        </w:rPr>
      </w:pPr>
    </w:p>
    <w:p w:rsidR="002F6E58" w:rsidRPr="00837F23" w:rsidRDefault="002F6E58" w:rsidP="002F6E58">
      <w:pPr>
        <w:spacing w:line="500" w:lineRule="exact"/>
        <w:ind w:right="120" w:firstLineChars="200" w:firstLine="480"/>
        <w:jc w:val="right"/>
        <w:rPr>
          <w:rFonts w:ascii="仿宋_GB2312" w:eastAsia="仿宋_GB2312"/>
          <w:sz w:val="24"/>
        </w:rPr>
      </w:pPr>
    </w:p>
    <w:p w:rsidR="002F6E58" w:rsidRDefault="002F6E58" w:rsidP="002F6E58">
      <w:pPr>
        <w:spacing w:line="500" w:lineRule="exact"/>
        <w:ind w:right="120" w:firstLineChars="200" w:firstLine="480"/>
        <w:jc w:val="right"/>
        <w:rPr>
          <w:rFonts w:ascii="仿宋_GB2312" w:eastAsia="仿宋_GB2312"/>
          <w:sz w:val="24"/>
        </w:rPr>
      </w:pPr>
    </w:p>
    <w:p w:rsidR="002F6E58" w:rsidRPr="00837F23" w:rsidRDefault="002F6E58" w:rsidP="002F6E58">
      <w:pPr>
        <w:spacing w:line="500" w:lineRule="exact"/>
        <w:ind w:right="120" w:firstLineChars="200" w:firstLine="480"/>
        <w:jc w:val="right"/>
        <w:rPr>
          <w:rFonts w:ascii="仿宋_GB2312" w:eastAsia="仿宋_GB2312"/>
          <w:sz w:val="24"/>
        </w:rPr>
      </w:pPr>
    </w:p>
    <w:p w:rsidR="002F6E58" w:rsidRDefault="002F6E58" w:rsidP="002F6E58">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“宝益得-丰益”系列</w:t>
      </w:r>
    </w:p>
    <w:p w:rsidR="002F6E58" w:rsidRPr="00837F23" w:rsidRDefault="002F6E58" w:rsidP="002F6E58">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2F6E58" w:rsidRDefault="002F6E58" w:rsidP="002F6E5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2F6E58" w:rsidRPr="00B93190" w:rsidRDefault="002F6E58" w:rsidP="002F6E58">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2F6E58" w:rsidRDefault="002F6E58" w:rsidP="002F6E5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2F6E58" w:rsidRDefault="002F6E58" w:rsidP="002F6E5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2F6E58" w:rsidRPr="006B501C" w:rsidRDefault="002F6E58" w:rsidP="002F6E58">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2F6E58" w:rsidRPr="006B501C" w:rsidRDefault="002F6E58" w:rsidP="002F6E58">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">
                <v:textbox>
                  <w:txbxContent>
                    <w:p w:rsidR="002F6E58" w:rsidRDefault="002F6E58" w:rsidP="002F6E5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2F6E58" w:rsidRPr="00B93190" w:rsidRDefault="002F6E58" w:rsidP="002F6E58">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2F6E58" w:rsidRDefault="002F6E58" w:rsidP="002F6E5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2F6E58" w:rsidRDefault="002F6E58" w:rsidP="002F6E5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2F6E58" w:rsidRPr="006B501C" w:rsidRDefault="002F6E58" w:rsidP="002F6E58">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2F6E58" w:rsidRPr="006B501C" w:rsidRDefault="002F6E58" w:rsidP="002F6E58">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2F6E58" w:rsidRPr="00837F23" w:rsidRDefault="002F6E58" w:rsidP="002F6E58">
      <w:pPr>
        <w:spacing w:line="500" w:lineRule="exact"/>
        <w:ind w:right="120" w:firstLineChars="200" w:firstLine="420"/>
        <w:rPr>
          <w:rFonts w:ascii="仿宋_GB2312" w:eastAsia="仿宋_GB2312"/>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2F6E58" w:rsidRPr="00837F23" w:rsidTr="00801A32">
        <w:trPr>
          <w:trHeight w:val="315"/>
        </w:trPr>
        <w:tc>
          <w:tcPr>
            <w:tcW w:w="2770" w:type="dxa"/>
            <w:vMerge w:val="restart"/>
            <w:tcMar>
              <w:top w:w="15" w:type="dxa"/>
              <w:left w:w="15" w:type="dxa"/>
              <w:bottom w:w="0" w:type="dxa"/>
              <w:right w:w="15" w:type="dxa"/>
            </w:tcMar>
            <w:vAlign w:val="center"/>
          </w:tcPr>
          <w:p w:rsidR="002F6E58" w:rsidRPr="00837F23" w:rsidRDefault="002F6E58"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2F6E58" w:rsidRPr="00837F23" w:rsidRDefault="002F6E58" w:rsidP="00801A32">
            <w:pPr>
              <w:ind w:firstLineChars="200" w:firstLine="420"/>
              <w:rPr>
                <w:rFonts w:ascii="仿宋_GB2312" w:eastAsia="仿宋_GB2312"/>
                <w:szCs w:val="21"/>
              </w:rPr>
            </w:pPr>
            <w:r>
              <w:rPr>
                <w:rFonts w:ascii="仿宋_GB2312" w:eastAsia="仿宋_GB2312" w:hint="eastAsia"/>
                <w:szCs w:val="21"/>
              </w:rPr>
              <w:t>2014年度“宝益得-丰益”</w:t>
            </w:r>
            <w:r w:rsidRPr="00837F23">
              <w:rPr>
                <w:rFonts w:ascii="仿宋_GB2312" w:eastAsia="仿宋_GB2312" w:hint="eastAsia"/>
                <w:szCs w:val="21"/>
              </w:rPr>
              <w:t xml:space="preserve"> 第</w:t>
            </w:r>
            <w:r>
              <w:rPr>
                <w:rFonts w:ascii="仿宋_GB2312" w:eastAsia="仿宋_GB2312" w:hint="eastAsia"/>
                <w:szCs w:val="21"/>
              </w:rPr>
              <w:t>12</w:t>
            </w:r>
            <w:r w:rsidRPr="00837F23">
              <w:rPr>
                <w:rFonts w:ascii="仿宋_GB2312" w:eastAsia="仿宋_GB2312" w:hint="eastAsia"/>
                <w:szCs w:val="21"/>
              </w:rPr>
              <w:t>期人民币理财产品</w:t>
            </w:r>
          </w:p>
        </w:tc>
      </w:tr>
      <w:tr w:rsidR="002F6E58" w:rsidRPr="00837F23" w:rsidTr="00801A32">
        <w:trPr>
          <w:trHeight w:val="315"/>
        </w:trPr>
        <w:tc>
          <w:tcPr>
            <w:tcW w:w="2770" w:type="dxa"/>
            <w:vMerge/>
            <w:tcMar>
              <w:top w:w="15" w:type="dxa"/>
              <w:left w:w="15" w:type="dxa"/>
              <w:bottom w:w="0" w:type="dxa"/>
              <w:right w:w="15" w:type="dxa"/>
            </w:tcMar>
            <w:vAlign w:val="bottom"/>
          </w:tcPr>
          <w:p w:rsidR="002F6E58" w:rsidRPr="00837F23" w:rsidRDefault="002F6E58" w:rsidP="00801A32">
            <w:pPr>
              <w:spacing w:line="500" w:lineRule="exact"/>
              <w:ind w:right="120" w:firstLineChars="200" w:firstLine="420"/>
              <w:rPr>
                <w:rFonts w:ascii="仿宋_GB2312" w:eastAsia="仿宋_GB2312"/>
                <w:szCs w:val="21"/>
              </w:rPr>
            </w:pPr>
          </w:p>
        </w:tc>
        <w:tc>
          <w:tcPr>
            <w:tcW w:w="6410" w:type="dxa"/>
            <w:tcMar>
              <w:top w:w="15" w:type="dxa"/>
              <w:left w:w="15" w:type="dxa"/>
              <w:bottom w:w="0" w:type="dxa"/>
              <w:right w:w="15" w:type="dxa"/>
            </w:tcMar>
            <w:vAlign w:val="center"/>
          </w:tcPr>
          <w:p w:rsidR="002F6E58" w:rsidRPr="002407F9" w:rsidRDefault="002F6E58" w:rsidP="00801A32">
            <w:pPr>
              <w:ind w:firstLineChars="200" w:firstLine="420"/>
              <w:jc w:val="left"/>
              <w:rPr>
                <w:rFonts w:ascii="仿宋_GB2312" w:eastAsia="仿宋_GB2312"/>
                <w:szCs w:val="21"/>
              </w:rPr>
            </w:pPr>
            <w:r w:rsidRPr="00837F23">
              <w:rPr>
                <w:rFonts w:ascii="仿宋_GB2312" w:eastAsia="仿宋_GB2312" w:hint="eastAsia"/>
                <w:szCs w:val="21"/>
              </w:rPr>
              <w:t>代码：</w:t>
            </w:r>
            <w:r w:rsidRPr="004901D4">
              <w:rPr>
                <w:rFonts w:ascii="仿宋_GB2312" w:eastAsia="仿宋_GB2312" w:hint="eastAsia"/>
                <w:szCs w:val="21"/>
              </w:rPr>
              <w:t xml:space="preserve"> BYDFY1</w:t>
            </w:r>
            <w:r>
              <w:rPr>
                <w:rFonts w:ascii="仿宋_GB2312" w:eastAsia="仿宋_GB2312" w:hint="eastAsia"/>
                <w:szCs w:val="21"/>
              </w:rPr>
              <w:t>412</w:t>
            </w:r>
          </w:p>
        </w:tc>
      </w:tr>
      <w:tr w:rsidR="002F6E58" w:rsidRPr="00837F23" w:rsidTr="00801A32">
        <w:trPr>
          <w:trHeight w:val="315"/>
        </w:trPr>
        <w:tc>
          <w:tcPr>
            <w:tcW w:w="2770" w:type="dxa"/>
            <w:tcMar>
              <w:top w:w="15" w:type="dxa"/>
              <w:left w:w="15" w:type="dxa"/>
              <w:bottom w:w="0" w:type="dxa"/>
              <w:right w:w="15" w:type="dxa"/>
            </w:tcMar>
            <w:vAlign w:val="center"/>
          </w:tcPr>
          <w:p w:rsidR="002F6E58" w:rsidRPr="00837F23" w:rsidRDefault="002F6E58"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2F6E58" w:rsidRDefault="002F6E58" w:rsidP="00801A32">
            <w:pPr>
              <w:ind w:firstLineChars="200" w:firstLine="420"/>
              <w:rPr>
                <w:rFonts w:ascii="仿宋_GB2312" w:eastAsia="仿宋_GB2312"/>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2F6E58" w:rsidRPr="002C6CA3" w:rsidRDefault="002F6E58" w:rsidP="00801A32">
            <w:pPr>
              <w:ind w:firstLineChars="200" w:firstLine="420"/>
              <w:rPr>
                <w:rFonts w:ascii="仿宋_GB2312" w:eastAsia="仿宋_GB2312"/>
                <w:szCs w:val="21"/>
              </w:rPr>
            </w:pPr>
            <w:r>
              <w:rPr>
                <w:rFonts w:ascii="仿宋_GB2312" w:eastAsia="仿宋_GB2312" w:hint="eastAsia"/>
                <w:szCs w:val="21"/>
              </w:rPr>
              <w:t xml:space="preserve"> “宝益得-丰益”系列人民币理财产品适合投资者类型为平衡型、成长型、进取型的个人投资者；</w:t>
            </w:r>
          </w:p>
        </w:tc>
      </w:tr>
      <w:tr w:rsidR="002F6E58" w:rsidRPr="00837F23" w:rsidTr="00801A32">
        <w:trPr>
          <w:trHeight w:val="315"/>
        </w:trPr>
        <w:tc>
          <w:tcPr>
            <w:tcW w:w="2770" w:type="dxa"/>
            <w:tcMar>
              <w:top w:w="15" w:type="dxa"/>
              <w:left w:w="15" w:type="dxa"/>
              <w:bottom w:w="0" w:type="dxa"/>
              <w:right w:w="15" w:type="dxa"/>
            </w:tcMar>
            <w:vAlign w:val="bottom"/>
          </w:tcPr>
          <w:p w:rsidR="002F6E58" w:rsidRPr="00837F23" w:rsidRDefault="002F6E58"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2F6E58" w:rsidRDefault="002F6E58" w:rsidP="00801A32">
            <w:pPr>
              <w:rPr>
                <w:rFonts w:ascii="仿宋_GB2312" w:eastAsia="仿宋_GB2312"/>
                <w:szCs w:val="21"/>
              </w:rPr>
            </w:pPr>
            <w:r>
              <w:rPr>
                <w:rFonts w:ascii="仿宋_GB2312" w:eastAsia="仿宋_GB2312" w:hint="eastAsia"/>
                <w:szCs w:val="21"/>
              </w:rPr>
              <w:t xml:space="preserve">     182天</w:t>
            </w:r>
          </w:p>
          <w:p w:rsidR="002F6E58" w:rsidRPr="00A91700" w:rsidRDefault="002F6E58" w:rsidP="00801A32">
            <w:pPr>
              <w:spacing w:line="500" w:lineRule="exact"/>
              <w:ind w:right="120"/>
              <w:rPr>
                <w:rFonts w:ascii="仿宋_GB2312" w:eastAsia="仿宋_GB2312"/>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2F6E58" w:rsidRPr="00837F23" w:rsidTr="00801A32">
        <w:trPr>
          <w:trHeight w:val="315"/>
        </w:trPr>
        <w:tc>
          <w:tcPr>
            <w:tcW w:w="2770" w:type="dxa"/>
            <w:tcMar>
              <w:top w:w="15" w:type="dxa"/>
              <w:left w:w="15" w:type="dxa"/>
              <w:bottom w:w="0" w:type="dxa"/>
              <w:right w:w="15" w:type="dxa"/>
            </w:tcMar>
            <w:vAlign w:val="bottom"/>
          </w:tcPr>
          <w:p w:rsidR="002F6E58" w:rsidRPr="00837F23" w:rsidRDefault="002F6E58"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2F6E58" w:rsidRPr="00A91700" w:rsidRDefault="002F6E58" w:rsidP="00801A32">
            <w:pPr>
              <w:spacing w:line="500" w:lineRule="exact"/>
              <w:ind w:right="120" w:firstLineChars="300" w:firstLine="630"/>
              <w:rPr>
                <w:rFonts w:ascii="仿宋_GB2312" w:eastAsia="仿宋_GB2312"/>
                <w:szCs w:val="21"/>
              </w:rPr>
            </w:pPr>
            <w:r w:rsidRPr="00A91700">
              <w:rPr>
                <w:rFonts w:ascii="仿宋_GB2312" w:eastAsia="仿宋_GB2312" w:hint="eastAsia"/>
                <w:szCs w:val="21"/>
              </w:rPr>
              <w:t>人民币</w:t>
            </w:r>
          </w:p>
        </w:tc>
      </w:tr>
      <w:tr w:rsidR="002F6E58" w:rsidRPr="00837F23" w:rsidTr="00801A32">
        <w:trPr>
          <w:trHeight w:val="315"/>
        </w:trPr>
        <w:tc>
          <w:tcPr>
            <w:tcW w:w="2770" w:type="dxa"/>
            <w:tcMar>
              <w:top w:w="15" w:type="dxa"/>
              <w:left w:w="15" w:type="dxa"/>
              <w:bottom w:w="0" w:type="dxa"/>
              <w:right w:w="15" w:type="dxa"/>
            </w:tcMar>
            <w:vAlign w:val="bottom"/>
          </w:tcPr>
          <w:p w:rsidR="002F6E58" w:rsidRPr="00837F23" w:rsidRDefault="002F6E58"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2F6E58" w:rsidRPr="003045C1" w:rsidRDefault="002F6E58" w:rsidP="00801A32">
            <w:pPr>
              <w:spacing w:line="500" w:lineRule="exact"/>
              <w:ind w:right="120" w:firstLineChars="200" w:firstLine="420"/>
              <w:rPr>
                <w:rFonts w:ascii="仿宋_GB2312" w:eastAsia="仿宋_GB2312"/>
                <w:szCs w:val="21"/>
              </w:rPr>
            </w:pPr>
            <w:r>
              <w:rPr>
                <w:rFonts w:ascii="仿宋_GB2312" w:eastAsia="仿宋_GB2312" w:hint="eastAsia"/>
                <w:szCs w:val="21"/>
              </w:rPr>
              <w:t xml:space="preserve"> “宝益得-丰益”系列理财产品为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2F6E58" w:rsidRPr="00837F23" w:rsidTr="00801A32">
        <w:trPr>
          <w:cantSplit/>
          <w:trHeight w:val="324"/>
        </w:trPr>
        <w:tc>
          <w:tcPr>
            <w:tcW w:w="2770" w:type="dxa"/>
            <w:tcMar>
              <w:top w:w="15" w:type="dxa"/>
              <w:left w:w="15" w:type="dxa"/>
              <w:bottom w:w="0" w:type="dxa"/>
              <w:right w:w="15" w:type="dxa"/>
            </w:tcMar>
            <w:vAlign w:val="bottom"/>
          </w:tcPr>
          <w:p w:rsidR="002F6E58" w:rsidRPr="00837F23" w:rsidRDefault="002F6E58"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2F6E58" w:rsidRPr="00117FAB" w:rsidRDefault="002F6E58" w:rsidP="00801A32">
            <w:pPr>
              <w:spacing w:line="500" w:lineRule="exact"/>
              <w:ind w:right="120" w:firstLineChars="200" w:firstLine="420"/>
              <w:rPr>
                <w:rFonts w:ascii="仿宋_GB2312" w:eastAsia="仿宋_GB2312"/>
                <w:szCs w:val="21"/>
              </w:rPr>
            </w:pPr>
            <w:r>
              <w:rPr>
                <w:rFonts w:ascii="仿宋_GB2312" w:eastAsia="仿宋_GB2312" w:hint="eastAsia"/>
                <w:szCs w:val="21"/>
              </w:rPr>
              <w:t xml:space="preserve"> “宝益得-丰益”系列理财产品为中等</w:t>
            </w:r>
            <w:r w:rsidRPr="00A91700">
              <w:rPr>
                <w:rFonts w:ascii="仿宋_GB2312" w:eastAsia="仿宋_GB2312" w:hint="eastAsia"/>
                <w:szCs w:val="21"/>
              </w:rPr>
              <w:t>风险产品</w:t>
            </w:r>
          </w:p>
        </w:tc>
      </w:tr>
      <w:tr w:rsidR="002F6E58" w:rsidRPr="00837F23" w:rsidTr="00801A32">
        <w:trPr>
          <w:cantSplit/>
          <w:trHeight w:val="324"/>
        </w:trPr>
        <w:tc>
          <w:tcPr>
            <w:tcW w:w="2770" w:type="dxa"/>
            <w:tcMar>
              <w:top w:w="15" w:type="dxa"/>
              <w:left w:w="15" w:type="dxa"/>
              <w:bottom w:w="0" w:type="dxa"/>
              <w:right w:w="15" w:type="dxa"/>
            </w:tcMar>
            <w:vAlign w:val="bottom"/>
          </w:tcPr>
          <w:p w:rsidR="002F6E58" w:rsidRPr="00837F23" w:rsidRDefault="002F6E58"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2F6E58" w:rsidRPr="00837F23" w:rsidRDefault="002F6E58" w:rsidP="00801A32">
            <w:pPr>
              <w:spacing w:line="500" w:lineRule="exact"/>
              <w:ind w:right="120" w:firstLineChars="250" w:firstLine="525"/>
              <w:rPr>
                <w:rFonts w:ascii="仿宋_GB2312" w:eastAsia="仿宋_GB2312"/>
                <w:szCs w:val="21"/>
              </w:rPr>
            </w:pPr>
            <w:r>
              <w:rPr>
                <w:rFonts w:ascii="仿宋_GB2312" w:eastAsia="仿宋_GB2312" w:hint="eastAsia"/>
                <w:szCs w:val="21"/>
              </w:rPr>
              <w:t>5亿元</w:t>
            </w:r>
          </w:p>
        </w:tc>
      </w:tr>
      <w:tr w:rsidR="002F6E58" w:rsidRPr="00837F23" w:rsidTr="00801A32">
        <w:trPr>
          <w:cantSplit/>
          <w:trHeight w:val="324"/>
        </w:trPr>
        <w:tc>
          <w:tcPr>
            <w:tcW w:w="2770" w:type="dxa"/>
            <w:tcMar>
              <w:top w:w="15" w:type="dxa"/>
              <w:left w:w="15" w:type="dxa"/>
              <w:bottom w:w="0" w:type="dxa"/>
              <w:right w:w="15" w:type="dxa"/>
            </w:tcMar>
            <w:vAlign w:val="bottom"/>
          </w:tcPr>
          <w:p w:rsidR="002F6E58" w:rsidRPr="00837F23" w:rsidRDefault="002F6E58"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2F6E58" w:rsidRPr="00837F23" w:rsidRDefault="002F6E58" w:rsidP="00801A32">
            <w:pPr>
              <w:spacing w:line="500" w:lineRule="exact"/>
              <w:ind w:right="120" w:firstLineChars="200" w:firstLine="420"/>
              <w:rPr>
                <w:rFonts w:ascii="仿宋_GB2312" w:eastAsia="仿宋_GB2312"/>
                <w:szCs w:val="21"/>
              </w:rPr>
            </w:pPr>
            <w:r>
              <w:rPr>
                <w:rFonts w:ascii="仿宋_GB2312" w:eastAsia="仿宋_GB2312" w:hint="eastAsia"/>
                <w:szCs w:val="21"/>
              </w:rPr>
              <w:t xml:space="preserve"> 2014年2月18日-2014年2月24日</w:t>
            </w:r>
          </w:p>
        </w:tc>
      </w:tr>
      <w:tr w:rsidR="002F6E58" w:rsidRPr="00837F23" w:rsidTr="00801A32">
        <w:trPr>
          <w:cantSplit/>
          <w:trHeight w:val="324"/>
        </w:trPr>
        <w:tc>
          <w:tcPr>
            <w:tcW w:w="2770" w:type="dxa"/>
            <w:tcMar>
              <w:top w:w="15" w:type="dxa"/>
              <w:left w:w="15" w:type="dxa"/>
              <w:bottom w:w="0" w:type="dxa"/>
              <w:right w:w="15" w:type="dxa"/>
            </w:tcMar>
            <w:vAlign w:val="center"/>
          </w:tcPr>
          <w:p w:rsidR="002F6E58" w:rsidRPr="00837F23" w:rsidRDefault="002F6E58"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2F6E58" w:rsidRDefault="002F6E58" w:rsidP="00801A32">
            <w:pPr>
              <w:spacing w:line="460" w:lineRule="exact"/>
              <w:ind w:right="119" w:firstLineChars="200" w:firstLine="420"/>
              <w:rPr>
                <w:rFonts w:ascii="仿宋_GB2312" w:eastAsia="仿宋_GB2312"/>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2F6E58" w:rsidRPr="00837F23" w:rsidRDefault="002F6E58" w:rsidP="00801A32">
            <w:pPr>
              <w:spacing w:line="460" w:lineRule="exact"/>
              <w:ind w:right="119" w:firstLineChars="200" w:firstLine="420"/>
              <w:rPr>
                <w:rFonts w:ascii="仿宋_GB2312" w:eastAsia="仿宋_GB2312"/>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2F6E58" w:rsidRPr="00837F23" w:rsidRDefault="002F6E58" w:rsidP="00801A32">
            <w:pPr>
              <w:spacing w:line="460" w:lineRule="exact"/>
              <w:ind w:right="119" w:firstLineChars="200" w:firstLine="420"/>
              <w:rPr>
                <w:rFonts w:ascii="仿宋_GB2312" w:eastAsia="仿宋_GB2312"/>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2F6E58" w:rsidRPr="00837F23" w:rsidTr="00801A32">
        <w:trPr>
          <w:trHeight w:val="315"/>
        </w:trPr>
        <w:tc>
          <w:tcPr>
            <w:tcW w:w="2770" w:type="dxa"/>
            <w:tcMar>
              <w:top w:w="15" w:type="dxa"/>
              <w:left w:w="15" w:type="dxa"/>
              <w:bottom w:w="0" w:type="dxa"/>
              <w:right w:w="15" w:type="dxa"/>
            </w:tcMar>
            <w:vAlign w:val="bottom"/>
          </w:tcPr>
          <w:p w:rsidR="002F6E58" w:rsidRPr="00837F23" w:rsidRDefault="002F6E58"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2F6E58" w:rsidRPr="00837F23" w:rsidRDefault="002F6E58" w:rsidP="00801A32">
            <w:pPr>
              <w:spacing w:line="500" w:lineRule="exact"/>
              <w:ind w:right="120" w:firstLineChars="200" w:firstLine="420"/>
              <w:rPr>
                <w:rFonts w:ascii="仿宋_GB2312" w:eastAsia="仿宋_GB2312"/>
                <w:szCs w:val="21"/>
              </w:rPr>
            </w:pPr>
            <w:r>
              <w:rPr>
                <w:rFonts w:ascii="仿宋_GB2312" w:eastAsia="仿宋_GB2312" w:hint="eastAsia"/>
                <w:szCs w:val="21"/>
              </w:rPr>
              <w:t>2014年2月25日</w:t>
            </w:r>
          </w:p>
        </w:tc>
      </w:tr>
      <w:tr w:rsidR="002F6E58" w:rsidRPr="00837F23" w:rsidTr="00801A32">
        <w:trPr>
          <w:trHeight w:val="315"/>
        </w:trPr>
        <w:tc>
          <w:tcPr>
            <w:tcW w:w="2770" w:type="dxa"/>
            <w:tcMar>
              <w:top w:w="15" w:type="dxa"/>
              <w:left w:w="15" w:type="dxa"/>
              <w:bottom w:w="0" w:type="dxa"/>
              <w:right w:w="15" w:type="dxa"/>
            </w:tcMar>
            <w:vAlign w:val="bottom"/>
          </w:tcPr>
          <w:p w:rsidR="002F6E58" w:rsidRPr="00837F23" w:rsidRDefault="002F6E58"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2F6E58" w:rsidRPr="00837F23" w:rsidRDefault="002F6E58" w:rsidP="00801A32">
            <w:pPr>
              <w:spacing w:line="500" w:lineRule="exact"/>
              <w:ind w:right="120" w:firstLineChars="200" w:firstLine="420"/>
              <w:rPr>
                <w:rFonts w:ascii="仿宋_GB2312" w:eastAsia="仿宋_GB2312"/>
                <w:szCs w:val="21"/>
              </w:rPr>
            </w:pPr>
            <w:r>
              <w:rPr>
                <w:rFonts w:ascii="仿宋_GB2312" w:eastAsia="仿宋_GB2312" w:hint="eastAsia"/>
                <w:szCs w:val="21"/>
              </w:rPr>
              <w:t>2014年8月26日</w:t>
            </w:r>
          </w:p>
        </w:tc>
      </w:tr>
      <w:tr w:rsidR="002F6E58" w:rsidRPr="00837F23" w:rsidTr="00801A32">
        <w:trPr>
          <w:trHeight w:val="315"/>
        </w:trPr>
        <w:tc>
          <w:tcPr>
            <w:tcW w:w="2770" w:type="dxa"/>
            <w:tcMar>
              <w:top w:w="15" w:type="dxa"/>
              <w:left w:w="15" w:type="dxa"/>
              <w:bottom w:w="0" w:type="dxa"/>
              <w:right w:w="15" w:type="dxa"/>
            </w:tcMar>
            <w:vAlign w:val="bottom"/>
          </w:tcPr>
          <w:p w:rsidR="002F6E58" w:rsidRPr="00837F23" w:rsidRDefault="002F6E58"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2F6E58" w:rsidRPr="00837F23" w:rsidRDefault="002F6E58"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产品到期日后3个工作日内</w:t>
            </w:r>
          </w:p>
        </w:tc>
      </w:tr>
      <w:tr w:rsidR="002F6E58" w:rsidRPr="00837F23" w:rsidTr="00801A32">
        <w:trPr>
          <w:trHeight w:val="315"/>
        </w:trPr>
        <w:tc>
          <w:tcPr>
            <w:tcW w:w="2770" w:type="dxa"/>
            <w:tcMar>
              <w:top w:w="15" w:type="dxa"/>
              <w:left w:w="15" w:type="dxa"/>
              <w:bottom w:w="0" w:type="dxa"/>
              <w:right w:w="15" w:type="dxa"/>
            </w:tcMar>
            <w:vAlign w:val="bottom"/>
          </w:tcPr>
          <w:p w:rsidR="002F6E58" w:rsidRPr="00837F23" w:rsidRDefault="002F6E58"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2F6E58" w:rsidRPr="00837F23" w:rsidRDefault="002F6E58" w:rsidP="00801A32">
            <w:pPr>
              <w:spacing w:line="500" w:lineRule="exact"/>
              <w:ind w:right="120" w:firstLineChars="200" w:firstLine="420"/>
              <w:rPr>
                <w:rFonts w:ascii="仿宋_GB2312" w:eastAsia="仿宋_GB2312"/>
                <w:szCs w:val="21"/>
              </w:rPr>
            </w:pPr>
            <w:r>
              <w:rPr>
                <w:rFonts w:ascii="仿宋_GB2312" w:eastAsia="仿宋_GB2312" w:hint="eastAsia"/>
                <w:szCs w:val="21"/>
              </w:rPr>
              <w:t>招商银行股份有限公司</w:t>
            </w:r>
          </w:p>
        </w:tc>
      </w:tr>
      <w:tr w:rsidR="002F6E58" w:rsidRPr="00837F23" w:rsidTr="00801A32">
        <w:trPr>
          <w:cantSplit/>
          <w:trHeight w:val="233"/>
        </w:trPr>
        <w:tc>
          <w:tcPr>
            <w:tcW w:w="2770" w:type="dxa"/>
            <w:tcMar>
              <w:top w:w="15" w:type="dxa"/>
              <w:left w:w="15" w:type="dxa"/>
              <w:bottom w:w="0" w:type="dxa"/>
              <w:right w:w="15" w:type="dxa"/>
            </w:tcMar>
            <w:vAlign w:val="bottom"/>
          </w:tcPr>
          <w:p w:rsidR="002F6E58" w:rsidRPr="00837F23" w:rsidRDefault="002F6E58" w:rsidP="00801A32">
            <w:pPr>
              <w:spacing w:line="500" w:lineRule="exact"/>
              <w:ind w:right="120" w:firstLineChars="200" w:firstLine="420"/>
              <w:rPr>
                <w:rFonts w:ascii="仿宋_GB2312" w:eastAsia="仿宋_GB2312"/>
                <w:szCs w:val="21"/>
              </w:rPr>
            </w:pPr>
            <w:proofErr w:type="gramStart"/>
            <w:r w:rsidRPr="00837F23">
              <w:rPr>
                <w:rFonts w:ascii="仿宋_GB2312" w:eastAsia="仿宋_GB2312" w:hint="eastAsia"/>
                <w:szCs w:val="21"/>
              </w:rPr>
              <w:t>客户年化收益率</w:t>
            </w:r>
            <w:proofErr w:type="gramEnd"/>
          </w:p>
          <w:p w:rsidR="002F6E58" w:rsidRPr="00837F23" w:rsidRDefault="002F6E58" w:rsidP="00801A32">
            <w:pPr>
              <w:spacing w:line="500" w:lineRule="exact"/>
              <w:ind w:right="120" w:firstLineChars="100" w:firstLine="210"/>
              <w:rPr>
                <w:rFonts w:ascii="仿宋_GB2312" w:eastAsia="仿宋_GB2312"/>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2F6E58" w:rsidRPr="00837F23" w:rsidRDefault="002F6E58" w:rsidP="00801A32">
            <w:pPr>
              <w:spacing w:line="500" w:lineRule="exact"/>
              <w:ind w:right="120" w:firstLineChars="200" w:firstLine="420"/>
              <w:rPr>
                <w:rFonts w:ascii="仿宋_GB2312" w:eastAsia="仿宋_GB2312"/>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6.10</w:t>
            </w:r>
            <w:r w:rsidRPr="00837F23">
              <w:rPr>
                <w:rFonts w:ascii="仿宋_GB2312" w:eastAsia="仿宋_GB2312" w:hint="eastAsia"/>
                <w:szCs w:val="21"/>
              </w:rPr>
              <w:t>%；</w:t>
            </w:r>
          </w:p>
        </w:tc>
      </w:tr>
      <w:tr w:rsidR="002F6E58" w:rsidRPr="00837F23" w:rsidTr="00801A32">
        <w:trPr>
          <w:trHeight w:val="315"/>
        </w:trPr>
        <w:tc>
          <w:tcPr>
            <w:tcW w:w="2770" w:type="dxa"/>
            <w:tcMar>
              <w:top w:w="15" w:type="dxa"/>
              <w:left w:w="15" w:type="dxa"/>
              <w:bottom w:w="0" w:type="dxa"/>
              <w:right w:w="15" w:type="dxa"/>
            </w:tcMar>
            <w:vAlign w:val="center"/>
          </w:tcPr>
          <w:p w:rsidR="002F6E58" w:rsidRPr="00837F23" w:rsidRDefault="002F6E58" w:rsidP="00801A32">
            <w:pPr>
              <w:spacing w:line="500" w:lineRule="exact"/>
              <w:ind w:right="120" w:firstLineChars="200" w:firstLine="420"/>
              <w:jc w:val="left"/>
              <w:rPr>
                <w:rFonts w:ascii="仿宋_GB2312" w:eastAsia="仿宋_GB2312"/>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2F6E58" w:rsidRPr="00837F23" w:rsidRDefault="002F6E58"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2F6E58" w:rsidRPr="00837F23" w:rsidTr="00801A32">
        <w:trPr>
          <w:trHeight w:val="315"/>
        </w:trPr>
        <w:tc>
          <w:tcPr>
            <w:tcW w:w="2770" w:type="dxa"/>
            <w:tcMar>
              <w:top w:w="15" w:type="dxa"/>
              <w:left w:w="15" w:type="dxa"/>
              <w:bottom w:w="0" w:type="dxa"/>
              <w:right w:w="15" w:type="dxa"/>
            </w:tcMar>
            <w:vAlign w:val="bottom"/>
          </w:tcPr>
          <w:p w:rsidR="002F6E58" w:rsidRPr="00837F23" w:rsidRDefault="002F6E58"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2F6E58" w:rsidRPr="00837F23" w:rsidRDefault="002F6E58"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最低</w:t>
            </w:r>
            <w:r>
              <w:rPr>
                <w:rFonts w:ascii="仿宋_GB2312" w:eastAsia="仿宋_GB2312" w:hint="eastAsia"/>
                <w:szCs w:val="21"/>
                <w:u w:val="single"/>
              </w:rPr>
              <w:t>10</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2F6E58" w:rsidRPr="00837F23" w:rsidTr="00801A32">
        <w:trPr>
          <w:trHeight w:val="315"/>
        </w:trPr>
        <w:tc>
          <w:tcPr>
            <w:tcW w:w="2770" w:type="dxa"/>
            <w:tcMar>
              <w:top w:w="15" w:type="dxa"/>
              <w:left w:w="15" w:type="dxa"/>
              <w:bottom w:w="0" w:type="dxa"/>
              <w:right w:w="15" w:type="dxa"/>
            </w:tcMar>
            <w:vAlign w:val="center"/>
          </w:tcPr>
          <w:p w:rsidR="002F6E58" w:rsidRPr="00837F23" w:rsidRDefault="002F6E58"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2F6E58" w:rsidRPr="00837F23" w:rsidRDefault="002F6E58"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2F6E58" w:rsidRPr="00837F23" w:rsidTr="00801A32">
        <w:trPr>
          <w:trHeight w:val="586"/>
        </w:trPr>
        <w:tc>
          <w:tcPr>
            <w:tcW w:w="2770" w:type="dxa"/>
            <w:tcMar>
              <w:top w:w="15" w:type="dxa"/>
              <w:left w:w="15" w:type="dxa"/>
              <w:bottom w:w="0" w:type="dxa"/>
              <w:right w:w="15" w:type="dxa"/>
            </w:tcMar>
            <w:vAlign w:val="center"/>
          </w:tcPr>
          <w:p w:rsidR="002F6E58" w:rsidRPr="00837F23" w:rsidRDefault="002F6E58"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2F6E58" w:rsidRPr="00837F23" w:rsidRDefault="002F6E58" w:rsidP="00801A32">
            <w:pPr>
              <w:spacing w:line="500" w:lineRule="exact"/>
              <w:ind w:right="120"/>
              <w:rPr>
                <w:rFonts w:ascii="仿宋_GB2312" w:eastAsia="仿宋_GB2312"/>
                <w:szCs w:val="21"/>
              </w:rPr>
            </w:pPr>
            <w:r w:rsidRPr="00837F23">
              <w:rPr>
                <w:rFonts w:ascii="仿宋_GB2312" w:eastAsia="仿宋_GB2312" w:hint="eastAsia"/>
                <w:szCs w:val="21"/>
              </w:rPr>
              <w:t>投资者收益＝投资本金×</w:t>
            </w:r>
            <w:r w:rsidRPr="00B96F12">
              <w:rPr>
                <w:rFonts w:ascii="仿宋_GB2312" w:eastAsia="仿宋_GB2312" w:hint="eastAsia"/>
                <w:szCs w:val="21"/>
              </w:rPr>
              <w:t>产品分配收益率</w:t>
            </w:r>
            <w:r w:rsidRPr="00837F23">
              <w:rPr>
                <w:rFonts w:ascii="仿宋_GB2312" w:eastAsia="仿宋_GB2312" w:hint="eastAsia"/>
                <w:szCs w:val="21"/>
              </w:rPr>
              <w:t>×实际理财天数/365</w:t>
            </w:r>
          </w:p>
        </w:tc>
      </w:tr>
      <w:tr w:rsidR="002F6E58" w:rsidRPr="00837F23" w:rsidTr="00801A32">
        <w:trPr>
          <w:trHeight w:val="315"/>
        </w:trPr>
        <w:tc>
          <w:tcPr>
            <w:tcW w:w="2770" w:type="dxa"/>
            <w:tcMar>
              <w:top w:w="15" w:type="dxa"/>
              <w:left w:w="15" w:type="dxa"/>
              <w:bottom w:w="0" w:type="dxa"/>
              <w:right w:w="15" w:type="dxa"/>
            </w:tcMar>
            <w:vAlign w:val="center"/>
          </w:tcPr>
          <w:p w:rsidR="002F6E58" w:rsidRPr="00837F23" w:rsidRDefault="002F6E58"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2F6E58" w:rsidRPr="00837F23" w:rsidRDefault="002F6E58"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本理财产品到期后一次性归还本金、支付收益，并于产品到期日</w:t>
            </w:r>
          </w:p>
          <w:p w:rsidR="002F6E58" w:rsidRPr="00837F23" w:rsidRDefault="002F6E58"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2F6E58" w:rsidRPr="00837F23" w:rsidTr="00801A32">
        <w:trPr>
          <w:trHeight w:val="315"/>
        </w:trPr>
        <w:tc>
          <w:tcPr>
            <w:tcW w:w="2770" w:type="dxa"/>
            <w:tcMar>
              <w:top w:w="15" w:type="dxa"/>
              <w:left w:w="15" w:type="dxa"/>
              <w:bottom w:w="0" w:type="dxa"/>
              <w:right w:w="15" w:type="dxa"/>
            </w:tcMar>
            <w:vAlign w:val="center"/>
          </w:tcPr>
          <w:p w:rsidR="002F6E58" w:rsidRPr="00837F23" w:rsidRDefault="002F6E58"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2F6E58" w:rsidRPr="00837F23" w:rsidRDefault="002F6E58"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理财收益的应纳税款由投资者自行申报及缴纳</w:t>
            </w:r>
          </w:p>
        </w:tc>
      </w:tr>
      <w:tr w:rsidR="002F6E58" w:rsidRPr="00837F23" w:rsidTr="00801A32">
        <w:trPr>
          <w:trHeight w:val="315"/>
        </w:trPr>
        <w:tc>
          <w:tcPr>
            <w:tcW w:w="2770" w:type="dxa"/>
            <w:tcMar>
              <w:top w:w="15" w:type="dxa"/>
              <w:left w:w="15" w:type="dxa"/>
              <w:bottom w:w="0" w:type="dxa"/>
              <w:right w:w="15" w:type="dxa"/>
            </w:tcMar>
            <w:vAlign w:val="center"/>
          </w:tcPr>
          <w:p w:rsidR="002F6E58" w:rsidRPr="00837F23" w:rsidRDefault="002F6E58"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2F6E58" w:rsidRPr="00837F23" w:rsidRDefault="002F6E58"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本理财产品在存续期间不开放申购与赎回</w:t>
            </w:r>
          </w:p>
        </w:tc>
      </w:tr>
      <w:tr w:rsidR="002F6E58" w:rsidRPr="00837F23" w:rsidTr="00801A32">
        <w:trPr>
          <w:trHeight w:val="315"/>
        </w:trPr>
        <w:tc>
          <w:tcPr>
            <w:tcW w:w="2770" w:type="dxa"/>
            <w:tcMar>
              <w:top w:w="15" w:type="dxa"/>
              <w:left w:w="15" w:type="dxa"/>
              <w:bottom w:w="0" w:type="dxa"/>
              <w:right w:w="15" w:type="dxa"/>
            </w:tcMar>
            <w:vAlign w:val="center"/>
          </w:tcPr>
          <w:p w:rsidR="002F6E58" w:rsidRPr="00837F23" w:rsidRDefault="002F6E58"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2F6E58" w:rsidRPr="00837F23" w:rsidRDefault="002F6E58" w:rsidP="00801A32">
            <w:pPr>
              <w:spacing w:line="500" w:lineRule="exact"/>
              <w:ind w:right="120" w:firstLineChars="200" w:firstLine="420"/>
              <w:rPr>
                <w:rFonts w:ascii="仿宋_GB2312" w:eastAsia="仿宋_GB2312"/>
                <w:szCs w:val="21"/>
              </w:rPr>
            </w:pPr>
            <w:r w:rsidRPr="00FD1D0B">
              <w:rPr>
                <w:rFonts w:ascii="仿宋_GB2312" w:eastAsia="仿宋_GB2312" w:hint="eastAsia"/>
                <w:szCs w:val="21"/>
                <w:highlight w:val="red"/>
              </w:rPr>
              <w:t>本理财产品不可质押</w:t>
            </w:r>
          </w:p>
        </w:tc>
      </w:tr>
      <w:tr w:rsidR="002F6E58" w:rsidRPr="00837F23" w:rsidTr="00801A32">
        <w:trPr>
          <w:trHeight w:val="224"/>
        </w:trPr>
        <w:tc>
          <w:tcPr>
            <w:tcW w:w="2770" w:type="dxa"/>
            <w:tcMar>
              <w:top w:w="15" w:type="dxa"/>
              <w:left w:w="15" w:type="dxa"/>
              <w:bottom w:w="0" w:type="dxa"/>
              <w:right w:w="15" w:type="dxa"/>
            </w:tcMar>
            <w:vAlign w:val="center"/>
          </w:tcPr>
          <w:p w:rsidR="002F6E58" w:rsidRPr="00837F23" w:rsidRDefault="002F6E58"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2F6E58" w:rsidRPr="00837F23" w:rsidRDefault="002F6E58"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国家法定工作日</w:t>
            </w:r>
          </w:p>
        </w:tc>
      </w:tr>
      <w:tr w:rsidR="002F6E58" w:rsidRPr="00837F23" w:rsidTr="00801A32">
        <w:trPr>
          <w:trHeight w:val="849"/>
        </w:trPr>
        <w:tc>
          <w:tcPr>
            <w:tcW w:w="2770" w:type="dxa"/>
            <w:tcMar>
              <w:top w:w="15" w:type="dxa"/>
              <w:left w:w="15" w:type="dxa"/>
              <w:bottom w:w="0" w:type="dxa"/>
              <w:right w:w="15" w:type="dxa"/>
            </w:tcMar>
            <w:vAlign w:val="center"/>
          </w:tcPr>
          <w:p w:rsidR="002F6E58" w:rsidRPr="00837F23" w:rsidRDefault="002F6E58"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2F6E58" w:rsidRPr="00837F23" w:rsidRDefault="002F6E58"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认购金额在募集期内按银行活期存款利率计息；募集期内的利息</w:t>
            </w:r>
          </w:p>
          <w:p w:rsidR="002F6E58" w:rsidRPr="00837F23" w:rsidRDefault="002F6E58"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不计入认购金额；认购金额在募集期结束日至产品起始日期间不</w:t>
            </w:r>
          </w:p>
          <w:p w:rsidR="002F6E58" w:rsidRPr="00837F23" w:rsidRDefault="002F6E58"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 xml:space="preserve">计息；产品到期日至投资者资金到账日期间不计息。 </w:t>
            </w:r>
          </w:p>
        </w:tc>
      </w:tr>
    </w:tbl>
    <w:p w:rsidR="002F6E58" w:rsidRPr="00837F23" w:rsidRDefault="002F6E58" w:rsidP="002F6E58">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二、投资对象</w:t>
      </w:r>
    </w:p>
    <w:p w:rsidR="002F6E58" w:rsidRPr="00117FAB" w:rsidRDefault="002F6E58" w:rsidP="002F6E58">
      <w:pPr>
        <w:spacing w:line="580" w:lineRule="exact"/>
        <w:ind w:firstLineChars="200" w:firstLine="480"/>
        <w:rPr>
          <w:rFonts w:ascii="仿宋_GB2312" w:eastAsia="仿宋_GB2312"/>
          <w:bCs/>
          <w:iCs/>
          <w:sz w:val="24"/>
        </w:rPr>
      </w:pPr>
      <w:r>
        <w:rPr>
          <w:rFonts w:ascii="仿宋_GB2312" w:eastAsia="仿宋_GB2312" w:hint="eastAsia"/>
          <w:bCs/>
          <w:iCs/>
          <w:sz w:val="24"/>
        </w:rPr>
        <w:t xml:space="preserve"> “宝益得-丰益”系列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2F6E58" w:rsidRDefault="002F6E58" w:rsidP="002F6E58">
      <w:pPr>
        <w:spacing w:line="580" w:lineRule="exact"/>
        <w:ind w:firstLineChars="200" w:firstLine="480"/>
        <w:rPr>
          <w:rFonts w:ascii="仿宋_GB2312" w:eastAsia="仿宋_GB2312"/>
          <w:bCs/>
          <w:iCs/>
          <w:sz w:val="24"/>
        </w:rPr>
      </w:pPr>
      <w:r>
        <w:rPr>
          <w:rFonts w:ascii="仿宋_GB2312" w:eastAsia="仿宋_GB2312" w:hint="eastAsia"/>
          <w:bCs/>
          <w:iCs/>
          <w:sz w:val="24"/>
        </w:rPr>
        <w:t>本期理财产品投资的定向资产管理计划主要投资于以下资产：</w:t>
      </w:r>
    </w:p>
    <w:p w:rsidR="002F6E58" w:rsidRDefault="002F6E58" w:rsidP="002F6E58">
      <w:pPr>
        <w:spacing w:line="580" w:lineRule="exact"/>
        <w:ind w:firstLineChars="200" w:firstLine="480"/>
        <w:rPr>
          <w:rFonts w:ascii="仿宋_GB2312" w:eastAsia="仿宋_GB2312"/>
          <w:bCs/>
          <w:iCs/>
          <w:sz w:val="24"/>
        </w:rPr>
      </w:pPr>
      <w:r>
        <w:rPr>
          <w:rFonts w:ascii="仿宋_GB2312" w:eastAsia="仿宋_GB2312" w:hint="eastAsia"/>
          <w:bCs/>
          <w:iCs/>
          <w:sz w:val="24"/>
        </w:rPr>
        <w:t>（1）固定收益类品种，主要包括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w:t>
      </w:r>
      <w:r w:rsidRPr="00FD1D0B">
        <w:rPr>
          <w:rFonts w:ascii="仿宋_GB2312" w:eastAsia="仿宋_GB2312" w:hint="eastAsia"/>
          <w:bCs/>
          <w:iCs/>
          <w:sz w:val="24"/>
          <w:highlight w:val="red"/>
        </w:rPr>
        <w:t>投资比例5%-100%；</w:t>
      </w:r>
      <w:bookmarkStart w:id="0" w:name="_GoBack"/>
      <w:bookmarkEnd w:id="0"/>
    </w:p>
    <w:p w:rsidR="002F6E58" w:rsidRPr="005007DF" w:rsidRDefault="002F6E58" w:rsidP="002F6E58">
      <w:pPr>
        <w:spacing w:line="580" w:lineRule="exact"/>
        <w:ind w:firstLineChars="200" w:firstLine="480"/>
        <w:rPr>
          <w:rFonts w:ascii="仿宋_GB2312" w:eastAsia="仿宋_GB2312"/>
          <w:bCs/>
          <w:iCs/>
          <w:sz w:val="24"/>
        </w:rPr>
      </w:pPr>
      <w:r>
        <w:rPr>
          <w:rFonts w:ascii="仿宋_GB2312" w:eastAsia="仿宋_GB2312" w:hint="eastAsia"/>
          <w:bCs/>
          <w:iCs/>
          <w:sz w:val="24"/>
        </w:rPr>
        <w:t>（2）</w:t>
      </w:r>
      <w:r w:rsidRPr="00EF211D">
        <w:rPr>
          <w:rFonts w:ascii="仿宋_GB2312" w:eastAsia="仿宋_GB2312" w:hint="eastAsia"/>
          <w:bCs/>
          <w:iCs/>
          <w:sz w:val="24"/>
        </w:rPr>
        <w:t>信托类产品</w:t>
      </w:r>
      <w:r>
        <w:rPr>
          <w:rFonts w:ascii="仿宋_GB2312" w:eastAsia="仿宋_GB2312" w:hint="eastAsia"/>
          <w:bCs/>
          <w:iCs/>
          <w:sz w:val="24"/>
        </w:rPr>
        <w:t>，投资比例0%-50%。</w:t>
      </w:r>
    </w:p>
    <w:p w:rsidR="002F6E58" w:rsidRPr="00837F23" w:rsidRDefault="002F6E58" w:rsidP="002F6E58">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三、投资团队</w:t>
      </w:r>
    </w:p>
    <w:p w:rsidR="002F6E58" w:rsidRDefault="002F6E58" w:rsidP="002F6E58">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2F6E58" w:rsidRPr="00837F23" w:rsidRDefault="002F6E58" w:rsidP="002F6E58">
      <w:pPr>
        <w:spacing w:line="500" w:lineRule="exact"/>
        <w:ind w:right="120" w:firstLineChars="200" w:firstLine="480"/>
        <w:rPr>
          <w:rFonts w:ascii="仿宋_GB2312" w:eastAsia="仿宋_GB2312"/>
          <w:sz w:val="24"/>
        </w:rPr>
      </w:pPr>
      <w:r w:rsidRPr="00837F23">
        <w:rPr>
          <w:rFonts w:ascii="仿宋_GB2312" w:eastAsia="仿宋_GB2312" w:hint="eastAsia"/>
          <w:sz w:val="24"/>
        </w:rPr>
        <w:t>四、理财产品收益测算</w:t>
      </w:r>
    </w:p>
    <w:p w:rsidR="002F6E58" w:rsidRPr="00837F23" w:rsidRDefault="002F6E58" w:rsidP="002F6E58">
      <w:pPr>
        <w:spacing w:line="500" w:lineRule="exact"/>
        <w:ind w:right="120" w:firstLineChars="200" w:firstLine="480"/>
        <w:rPr>
          <w:rFonts w:ascii="仿宋_GB2312" w:eastAsia="仿宋_GB2312"/>
          <w:sz w:val="24"/>
        </w:rPr>
      </w:pPr>
      <w:r w:rsidRPr="00837F23">
        <w:rPr>
          <w:rFonts w:ascii="仿宋_GB2312" w:eastAsia="仿宋_GB2312" w:hint="eastAsia"/>
          <w:sz w:val="24"/>
        </w:rPr>
        <w:t xml:space="preserve">1、理财产品相关费用 </w:t>
      </w:r>
    </w:p>
    <w:p w:rsidR="002F6E58" w:rsidRPr="00837F23" w:rsidRDefault="002F6E58" w:rsidP="002F6E58">
      <w:pPr>
        <w:spacing w:line="500" w:lineRule="exact"/>
        <w:ind w:right="120" w:firstLineChars="200" w:firstLine="480"/>
        <w:rPr>
          <w:rFonts w:ascii="仿宋_GB2312" w:eastAsia="仿宋_GB2312"/>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2F6E58" w:rsidRPr="00837F23" w:rsidRDefault="002F6E58" w:rsidP="002F6E58">
      <w:pPr>
        <w:spacing w:line="500" w:lineRule="exact"/>
        <w:ind w:right="120" w:firstLineChars="200" w:firstLine="480"/>
        <w:rPr>
          <w:rFonts w:ascii="仿宋_GB2312" w:eastAsia="仿宋_GB2312"/>
          <w:sz w:val="24"/>
        </w:rPr>
      </w:pPr>
      <w:r w:rsidRPr="00837F23">
        <w:rPr>
          <w:rFonts w:ascii="仿宋_GB2312" w:eastAsia="仿宋_GB2312" w:hint="eastAsia"/>
          <w:sz w:val="24"/>
        </w:rPr>
        <w:t xml:space="preserve">2、资产配置及收益测算 </w:t>
      </w:r>
    </w:p>
    <w:p w:rsidR="002F6E58" w:rsidRPr="0078232D" w:rsidRDefault="002F6E58" w:rsidP="002F6E58">
      <w:pPr>
        <w:spacing w:line="500" w:lineRule="exact"/>
        <w:ind w:right="120" w:firstLineChars="200" w:firstLine="480"/>
        <w:rPr>
          <w:rFonts w:ascii="仿宋_GB2312" w:eastAsia="仿宋_GB2312"/>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w:t>
      </w:r>
      <w:r>
        <w:rPr>
          <w:rFonts w:ascii="仿宋_GB2312" w:eastAsia="仿宋_GB2312" w:hint="eastAsia"/>
          <w:sz w:val="24"/>
        </w:rPr>
        <w:lastRenderedPageBreak/>
        <w:t>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6.10</w:t>
      </w:r>
      <w:r w:rsidRPr="0078232D">
        <w:rPr>
          <w:rFonts w:ascii="仿宋_GB2312" w:eastAsia="仿宋_GB2312" w:hint="eastAsia"/>
          <w:sz w:val="24"/>
        </w:rPr>
        <w:t xml:space="preserve">%。 </w:t>
      </w:r>
    </w:p>
    <w:p w:rsidR="002F6E58" w:rsidRDefault="002F6E58" w:rsidP="002F6E58">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 xml:space="preserve">3、理财收益计算公式 </w:t>
      </w:r>
    </w:p>
    <w:p w:rsidR="002F6E58" w:rsidRPr="00A27850" w:rsidRDefault="002F6E58" w:rsidP="002F6E58">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2F6E58" w:rsidRPr="00A27850" w:rsidRDefault="002F6E58" w:rsidP="002F6E58">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2F6E58" w:rsidRPr="00A27850" w:rsidRDefault="002F6E58" w:rsidP="002F6E58">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2F6E58" w:rsidRPr="00A27850" w:rsidRDefault="002F6E58" w:rsidP="002F6E58">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2F6E58" w:rsidRPr="00A27850" w:rsidRDefault="002F6E58" w:rsidP="002F6E58">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2F6E58" w:rsidRDefault="002F6E58" w:rsidP="002F6E58">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2F6E58" w:rsidRPr="00A27850" w:rsidRDefault="002F6E58" w:rsidP="002F6E58">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2F6E58" w:rsidRDefault="002F6E58" w:rsidP="002F6E58">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2F6E58" w:rsidRPr="00A27850" w:rsidRDefault="002F6E58" w:rsidP="002F6E58">
      <w:pPr>
        <w:spacing w:line="500" w:lineRule="exact"/>
        <w:ind w:right="120" w:firstLineChars="200" w:firstLine="480"/>
        <w:rPr>
          <w:rFonts w:ascii="仿宋_GB2312" w:eastAsia="仿宋_GB2312"/>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2F6E58" w:rsidRPr="00A27850" w:rsidRDefault="002F6E58" w:rsidP="002F6E58">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以投资者认购</w:t>
      </w:r>
      <w:r>
        <w:rPr>
          <w:rFonts w:ascii="仿宋_GB2312" w:eastAsia="仿宋_GB2312" w:hint="eastAsia"/>
          <w:bCs/>
          <w:iCs/>
          <w:sz w:val="24"/>
        </w:rPr>
        <w:t>182</w:t>
      </w:r>
      <w:r w:rsidRPr="00A27850">
        <w:rPr>
          <w:rFonts w:ascii="仿宋_GB2312" w:eastAsia="仿宋_GB2312" w:hint="eastAsia"/>
          <w:bCs/>
          <w:iCs/>
          <w:sz w:val="24"/>
        </w:rPr>
        <w:t>天理财产品金额为</w:t>
      </w:r>
      <w:r>
        <w:rPr>
          <w:rFonts w:ascii="仿宋_GB2312" w:eastAsia="仿宋_GB2312" w:hint="eastAsia"/>
          <w:bCs/>
          <w:iCs/>
          <w:sz w:val="24"/>
        </w:rPr>
        <w:t>10</w:t>
      </w:r>
      <w:r w:rsidRPr="00A27850">
        <w:rPr>
          <w:rFonts w:ascii="仿宋_GB2312" w:eastAsia="仿宋_GB2312" w:hint="eastAsia"/>
          <w:bCs/>
          <w:iCs/>
          <w:sz w:val="24"/>
        </w:rPr>
        <w:t>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6.10</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2F6E58" w:rsidRDefault="002F6E58" w:rsidP="002F6E58">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w:t>
      </w:r>
      <w:r>
        <w:rPr>
          <w:rFonts w:ascii="仿宋_GB2312" w:eastAsia="仿宋_GB2312" w:hint="eastAsia"/>
          <w:bCs/>
          <w:iCs/>
          <w:sz w:val="24"/>
        </w:rPr>
        <w:t>10</w:t>
      </w:r>
      <w:r w:rsidRPr="00A27850">
        <w:rPr>
          <w:rFonts w:ascii="仿宋_GB2312" w:eastAsia="仿宋_GB2312" w:hint="eastAsia"/>
          <w:bCs/>
          <w:iCs/>
          <w:sz w:val="24"/>
        </w:rPr>
        <w:t>×</w:t>
      </w:r>
      <w:r>
        <w:rPr>
          <w:rFonts w:ascii="仿宋_GB2312" w:eastAsia="仿宋_GB2312" w:hint="eastAsia"/>
          <w:bCs/>
          <w:iCs/>
          <w:sz w:val="24"/>
        </w:rPr>
        <w:t>6.10</w:t>
      </w:r>
      <w:r w:rsidRPr="00A27850">
        <w:rPr>
          <w:rFonts w:ascii="仿宋_GB2312" w:eastAsia="仿宋_GB2312" w:hint="eastAsia"/>
          <w:bCs/>
          <w:iCs/>
          <w:sz w:val="24"/>
        </w:rPr>
        <w:t>%×</w:t>
      </w:r>
      <w:r>
        <w:rPr>
          <w:rFonts w:ascii="仿宋_GB2312" w:eastAsia="仿宋_GB2312" w:hint="eastAsia"/>
          <w:bCs/>
          <w:iCs/>
          <w:sz w:val="24"/>
        </w:rPr>
        <w:t>182</w:t>
      </w:r>
      <w:r w:rsidRPr="00A27850">
        <w:rPr>
          <w:rFonts w:ascii="仿宋_GB2312" w:eastAsia="仿宋_GB2312" w:hint="eastAsia"/>
          <w:bCs/>
          <w:iCs/>
          <w:sz w:val="24"/>
        </w:rPr>
        <w:t>÷365＝</w:t>
      </w:r>
      <w:r>
        <w:rPr>
          <w:rFonts w:ascii="仿宋_GB2312" w:eastAsia="仿宋_GB2312" w:hint="eastAsia"/>
          <w:bCs/>
          <w:iCs/>
          <w:sz w:val="24"/>
        </w:rPr>
        <w:t>0.304164</w:t>
      </w:r>
      <w:r w:rsidRPr="00A27850">
        <w:rPr>
          <w:rFonts w:ascii="仿宋_GB2312" w:eastAsia="仿宋_GB2312" w:hint="eastAsia"/>
          <w:bCs/>
          <w:iCs/>
          <w:sz w:val="24"/>
        </w:rPr>
        <w:t xml:space="preserve">万元 </w:t>
      </w:r>
    </w:p>
    <w:p w:rsidR="002F6E58" w:rsidRPr="00A27850" w:rsidRDefault="002F6E58" w:rsidP="002F6E58">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本理财产品的理财收益测算和收益兑付均采用四舍五入至分计算。 </w:t>
      </w:r>
    </w:p>
    <w:p w:rsidR="002F6E58" w:rsidRPr="00A27850" w:rsidRDefault="002F6E58" w:rsidP="002F6E58">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2F6E58" w:rsidRPr="00837F23" w:rsidRDefault="002F6E58" w:rsidP="002F6E58">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5、理财资金支付</w:t>
      </w:r>
    </w:p>
    <w:p w:rsidR="002F6E58" w:rsidRPr="00837F23" w:rsidRDefault="002F6E58" w:rsidP="002F6E58">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2F6E58" w:rsidRPr="00837F23" w:rsidRDefault="002F6E58" w:rsidP="002F6E58">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lastRenderedPageBreak/>
        <w:t>6、特别说明</w:t>
      </w:r>
    </w:p>
    <w:p w:rsidR="002F6E58" w:rsidRPr="00837F23" w:rsidRDefault="002F6E58" w:rsidP="002F6E58">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在本理财产品存续期间，不开放赎回；理财资金在到期/实际终止时，一次兑付。</w:t>
      </w:r>
    </w:p>
    <w:p w:rsidR="002F6E58" w:rsidRPr="00837F23" w:rsidRDefault="002F6E58" w:rsidP="002F6E58">
      <w:pPr>
        <w:spacing w:line="500" w:lineRule="exact"/>
        <w:ind w:right="120" w:firstLineChars="200" w:firstLine="480"/>
        <w:rPr>
          <w:rFonts w:ascii="仿宋_GB2312" w:eastAsia="仿宋_GB2312"/>
          <w:iCs/>
          <w:sz w:val="24"/>
        </w:rPr>
      </w:pPr>
      <w:r>
        <w:rPr>
          <w:rFonts w:ascii="仿宋_GB2312" w:eastAsia="仿宋_GB2312" w:hint="eastAsia"/>
          <w:iCs/>
          <w:sz w:val="24"/>
        </w:rPr>
        <w:t>五</w:t>
      </w:r>
      <w:r w:rsidRPr="00837F23">
        <w:rPr>
          <w:rFonts w:ascii="仿宋_GB2312" w:eastAsia="仿宋_GB2312" w:hint="eastAsia"/>
          <w:iCs/>
          <w:sz w:val="24"/>
        </w:rPr>
        <w:t>、风险揭示</w:t>
      </w:r>
    </w:p>
    <w:p w:rsidR="002F6E58" w:rsidRDefault="002F6E58" w:rsidP="002F6E58">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2F6E58" w:rsidRPr="00B412C6" w:rsidRDefault="002F6E58" w:rsidP="002F6E58">
      <w:pPr>
        <w:spacing w:line="500" w:lineRule="exact"/>
        <w:ind w:right="120" w:firstLineChars="200" w:firstLine="480"/>
        <w:rPr>
          <w:rFonts w:ascii="仿宋_GB2312" w:eastAsia="仿宋_GB2312"/>
          <w:bCs/>
          <w:sz w:val="24"/>
        </w:rPr>
      </w:pPr>
      <w:r>
        <w:rPr>
          <w:rFonts w:ascii="仿宋_GB2312" w:eastAsia="仿宋_GB2312" w:hint="eastAsia"/>
          <w:bCs/>
          <w:sz w:val="24"/>
        </w:rPr>
        <w:t>1、</w:t>
      </w:r>
      <w:r w:rsidRPr="00B412C6">
        <w:rPr>
          <w:rFonts w:ascii="仿宋_GB2312" w:eastAsia="仿宋_GB2312" w:hint="eastAsia"/>
          <w:bCs/>
          <w:sz w:val="24"/>
        </w:rPr>
        <w:t>理财收益风险：“宝益得-丰益”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2F6E58" w:rsidRPr="00B412C6" w:rsidRDefault="002F6E58" w:rsidP="002F6E58">
      <w:pPr>
        <w:spacing w:line="500" w:lineRule="exact"/>
        <w:ind w:right="120" w:firstLineChars="200" w:firstLine="480"/>
        <w:rPr>
          <w:rFonts w:ascii="仿宋_GB2312" w:eastAsia="仿宋_GB2312"/>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市场风险：“宝益得-丰益”系列理财产品收益随市场利率波动而调整，客户的收益可能因市场利率变化而相对降低。</w:t>
      </w:r>
    </w:p>
    <w:p w:rsidR="002F6E58" w:rsidRPr="00B412C6" w:rsidRDefault="002F6E58" w:rsidP="002F6E58">
      <w:pPr>
        <w:spacing w:line="500" w:lineRule="exact"/>
        <w:ind w:right="120" w:firstLineChars="200" w:firstLine="480"/>
        <w:rPr>
          <w:rFonts w:ascii="仿宋_GB2312" w:eastAsia="仿宋_GB2312"/>
          <w:bCs/>
          <w:sz w:val="24"/>
        </w:rPr>
      </w:pPr>
      <w:r>
        <w:rPr>
          <w:rFonts w:ascii="仿宋_GB2312" w:eastAsia="仿宋_GB2312" w:hint="eastAsia"/>
          <w:bCs/>
          <w:sz w:val="24"/>
        </w:rPr>
        <w:t>3、</w:t>
      </w:r>
      <w:r w:rsidRPr="00B412C6">
        <w:rPr>
          <w:rFonts w:ascii="仿宋_GB2312" w:eastAsia="仿宋_GB2312" w:hint="eastAsia"/>
          <w:bCs/>
          <w:sz w:val="24"/>
        </w:rPr>
        <w:t>流动性风险：“宝益得-丰益”系列理财产品在存续期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2F6E58" w:rsidRPr="00B412C6" w:rsidRDefault="002F6E58" w:rsidP="002F6E58">
      <w:pPr>
        <w:spacing w:line="500" w:lineRule="exact"/>
        <w:ind w:right="120" w:firstLineChars="200" w:firstLine="480"/>
        <w:rPr>
          <w:rFonts w:ascii="仿宋_GB2312" w:eastAsia="仿宋_GB2312"/>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丰益”系列理财产品是针对当前的相关法规和政策设计的。如国家宏观政策以及市场相关法规政策发生变化，可能影响理财产品的受理、投资、偿还等的正常进行，甚至导致本系列理财产品收益降低。 </w:t>
      </w:r>
    </w:p>
    <w:p w:rsidR="002F6E58" w:rsidRPr="00B412C6" w:rsidRDefault="002F6E58" w:rsidP="002F6E58">
      <w:pPr>
        <w:spacing w:line="500" w:lineRule="exact"/>
        <w:ind w:right="120" w:firstLineChars="200" w:firstLine="480"/>
        <w:rPr>
          <w:rFonts w:ascii="仿宋_GB2312" w:eastAsia="仿宋_GB2312"/>
          <w:bCs/>
          <w:sz w:val="24"/>
        </w:rPr>
      </w:pPr>
      <w:r>
        <w:rPr>
          <w:rFonts w:ascii="仿宋_GB2312" w:eastAsia="仿宋_GB2312" w:hint="eastAsia"/>
          <w:bCs/>
          <w:sz w:val="24"/>
        </w:rPr>
        <w:t>5、</w:t>
      </w:r>
      <w:r w:rsidRPr="00B412C6">
        <w:rPr>
          <w:rFonts w:ascii="仿宋_GB2312" w:eastAsia="仿宋_GB2312" w:hint="eastAsia"/>
          <w:bCs/>
          <w:sz w:val="24"/>
        </w:rPr>
        <w:t>信息传递风险：“宝益得-丰益”系列理财产品存续期内不提供账单，投资者应根据本理财产品说明书所载明的公告方式及时查询本理财产品的相关信息。我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w:t>
      </w:r>
      <w:r w:rsidRPr="00B412C6">
        <w:rPr>
          <w:rFonts w:ascii="仿宋_GB2312" w:eastAsia="仿宋_GB2312" w:hint="eastAsia"/>
          <w:bCs/>
          <w:sz w:val="24"/>
        </w:rPr>
        <w:lastRenderedPageBreak/>
        <w:t xml:space="preserve">资者时无法及时联系上，则可能会影响投资者的投资决策，由此而产生的责任和风险由投资者自行承担。 </w:t>
      </w:r>
    </w:p>
    <w:p w:rsidR="002F6E58" w:rsidRPr="00B412C6" w:rsidRDefault="002F6E58" w:rsidP="002F6E58">
      <w:pPr>
        <w:spacing w:line="500" w:lineRule="exact"/>
        <w:ind w:right="120" w:firstLineChars="200" w:firstLine="480"/>
        <w:rPr>
          <w:rFonts w:ascii="仿宋_GB2312" w:eastAsia="仿宋_GB2312"/>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判断难以按照本系列产品说明书规定向客户提供“宝益得-丰益”系列理财产品，我行有权宣布该产品不成立。</w:t>
      </w:r>
    </w:p>
    <w:p w:rsidR="002F6E58" w:rsidRPr="00B412C6" w:rsidRDefault="002F6E58" w:rsidP="002F6E58">
      <w:pPr>
        <w:spacing w:line="500" w:lineRule="exact"/>
        <w:ind w:right="120" w:firstLineChars="200" w:firstLine="480"/>
        <w:rPr>
          <w:rFonts w:ascii="仿宋_GB2312" w:eastAsia="仿宋_GB2312"/>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丰益”系列理财产品的收益时，我行有权提前终止本理财产品。如我行提前终止本期理财产品，则该理财产品的实际理财期可能小于预定期限。如果理财产品提前终止，则投资者将无法实现期初预期的全部收益。</w:t>
      </w:r>
    </w:p>
    <w:p w:rsidR="002F6E58" w:rsidRPr="00B412C6" w:rsidRDefault="002F6E58" w:rsidP="002F6E58">
      <w:pPr>
        <w:spacing w:line="500" w:lineRule="exact"/>
        <w:ind w:right="120" w:firstLineChars="200" w:firstLine="480"/>
        <w:rPr>
          <w:rFonts w:ascii="仿宋_GB2312" w:eastAsia="仿宋_GB2312"/>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丰益”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2F6E58" w:rsidRPr="00B412C6" w:rsidRDefault="002F6E58" w:rsidP="002F6E58">
      <w:pPr>
        <w:spacing w:line="500" w:lineRule="exact"/>
        <w:ind w:right="120" w:firstLineChars="200" w:firstLine="480"/>
        <w:rPr>
          <w:rFonts w:ascii="仿宋_GB2312" w:eastAsia="仿宋_GB2312"/>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丰益”系列理财产品的受理、投资、偿还等的正常进行，甚至导致理财产品收益降低甚至收益为零。对于由不可抗力风险所导致的任何损失，由投资者自行承担，我行对此不承担任何责任。</w:t>
      </w:r>
    </w:p>
    <w:p w:rsidR="002F6E58" w:rsidRPr="00B412C6" w:rsidRDefault="002F6E58" w:rsidP="002F6E58">
      <w:pPr>
        <w:spacing w:line="500" w:lineRule="exact"/>
        <w:ind w:right="120" w:firstLineChars="200" w:firstLine="480"/>
        <w:rPr>
          <w:rFonts w:ascii="仿宋_GB2312" w:eastAsia="仿宋_GB2312"/>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出现信用状况严重恶化或清盘破产等情况，投资者投资“宝益得-丰益”系列理财本金可能会有部分或全部损失，理财产品收益率可能为零。</w:t>
      </w:r>
    </w:p>
    <w:p w:rsidR="002F6E58" w:rsidRPr="00837F23" w:rsidRDefault="002F6E58" w:rsidP="002F6E58">
      <w:pPr>
        <w:spacing w:line="500" w:lineRule="exact"/>
        <w:ind w:right="120" w:firstLineChars="200" w:firstLine="480"/>
        <w:rPr>
          <w:rFonts w:ascii="仿宋_GB2312" w:eastAsia="仿宋_GB2312"/>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2F6E58" w:rsidRPr="00837F23" w:rsidRDefault="002F6E58" w:rsidP="002F6E58">
      <w:pPr>
        <w:spacing w:line="500" w:lineRule="exact"/>
        <w:ind w:right="120" w:firstLineChars="200" w:firstLine="480"/>
        <w:rPr>
          <w:rFonts w:ascii="仿宋_GB2312" w:eastAsia="仿宋_GB2312"/>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2F6E58" w:rsidRPr="00837F23" w:rsidRDefault="002F6E58" w:rsidP="002F6E58">
      <w:pPr>
        <w:spacing w:line="500" w:lineRule="exact"/>
        <w:ind w:right="120" w:firstLineChars="200" w:firstLine="480"/>
        <w:rPr>
          <w:rFonts w:ascii="仿宋_GB2312" w:eastAsia="仿宋_GB2312"/>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2F6E58" w:rsidRPr="00837F23" w:rsidRDefault="002F6E58" w:rsidP="002F6E58">
      <w:pPr>
        <w:spacing w:line="500" w:lineRule="exact"/>
        <w:ind w:right="120" w:firstLineChars="200" w:firstLine="480"/>
        <w:rPr>
          <w:rFonts w:ascii="仿宋_GB2312" w:eastAsia="仿宋_GB2312"/>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w:t>
      </w:r>
      <w:r w:rsidRPr="00837F23">
        <w:rPr>
          <w:rFonts w:ascii="仿宋_GB2312" w:eastAsia="仿宋_GB2312" w:hint="eastAsia"/>
          <w:bCs/>
          <w:iCs/>
          <w:sz w:val="24"/>
        </w:rPr>
        <w:lastRenderedPageBreak/>
        <w:t>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2F6E58" w:rsidRPr="00837F23" w:rsidRDefault="002F6E58" w:rsidP="002F6E58">
      <w:pPr>
        <w:spacing w:line="500" w:lineRule="exact"/>
        <w:ind w:right="120" w:firstLineChars="200" w:firstLine="480"/>
        <w:rPr>
          <w:rFonts w:ascii="仿宋_GB2312" w:eastAsia="仿宋_GB2312"/>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2F6E58" w:rsidRPr="00837F23" w:rsidRDefault="002F6E58" w:rsidP="002F6E58">
      <w:pPr>
        <w:spacing w:line="500" w:lineRule="exact"/>
        <w:ind w:right="120" w:firstLineChars="200" w:firstLine="480"/>
        <w:rPr>
          <w:rFonts w:ascii="仿宋_GB2312" w:eastAsia="仿宋_GB2312"/>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2F6E58" w:rsidRPr="00837F23" w:rsidRDefault="002F6E58" w:rsidP="002F6E58">
      <w:pPr>
        <w:spacing w:line="500" w:lineRule="exact"/>
        <w:ind w:right="120" w:firstLineChars="200" w:firstLine="480"/>
        <w:rPr>
          <w:rFonts w:ascii="仿宋_GB2312" w:eastAsia="仿宋_GB2312"/>
          <w:bCs/>
          <w:sz w:val="24"/>
        </w:rPr>
      </w:pPr>
      <w:r>
        <w:rPr>
          <w:rFonts w:ascii="仿宋_GB2312" w:eastAsia="仿宋_GB2312" w:hint="eastAsia"/>
          <w:bCs/>
          <w:sz w:val="24"/>
        </w:rPr>
        <w:t>七</w:t>
      </w:r>
      <w:r w:rsidRPr="00837F23">
        <w:rPr>
          <w:rFonts w:ascii="仿宋_GB2312" w:eastAsia="仿宋_GB2312" w:hint="eastAsia"/>
          <w:bCs/>
          <w:sz w:val="24"/>
        </w:rPr>
        <w:t>、特别提示</w:t>
      </w:r>
    </w:p>
    <w:p w:rsidR="002F6E58" w:rsidRPr="00837F23" w:rsidRDefault="002F6E58" w:rsidP="002F6E58">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2F6E58" w:rsidRPr="00837F23" w:rsidRDefault="002F6E58" w:rsidP="002F6E58">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2F6E58" w:rsidRPr="00837F23" w:rsidRDefault="002F6E58" w:rsidP="002F6E58">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2F6E58" w:rsidRPr="00837F23" w:rsidRDefault="002F6E58" w:rsidP="002F6E58">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3、投资者已清楚知晓，并愿意承担本理财产品的所有风险。</w:t>
      </w:r>
    </w:p>
    <w:p w:rsidR="002F6E58" w:rsidRPr="00837F23" w:rsidRDefault="002F6E58" w:rsidP="002F6E58">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天津农商银行将恪守勤勉尽责的原则，合理配置资产组合，为投资者提供专业化的理财服务。</w:t>
      </w:r>
    </w:p>
    <w:p w:rsidR="00395602" w:rsidRPr="002F6E58" w:rsidRDefault="000A3991"/>
    <w:sectPr w:rsidR="00395602" w:rsidRPr="002F6E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991" w:rsidRDefault="000A3991" w:rsidP="002F6E58">
      <w:r>
        <w:separator/>
      </w:r>
    </w:p>
  </w:endnote>
  <w:endnote w:type="continuationSeparator" w:id="0">
    <w:p w:rsidR="000A3991" w:rsidRDefault="000A3991" w:rsidP="002F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991" w:rsidRDefault="000A3991" w:rsidP="002F6E58">
      <w:r>
        <w:separator/>
      </w:r>
    </w:p>
  </w:footnote>
  <w:footnote w:type="continuationSeparator" w:id="0">
    <w:p w:rsidR="000A3991" w:rsidRDefault="000A3991" w:rsidP="002F6E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D40"/>
    <w:rsid w:val="000A3991"/>
    <w:rsid w:val="002F6E58"/>
    <w:rsid w:val="00620D40"/>
    <w:rsid w:val="00880ABE"/>
    <w:rsid w:val="00CB27C3"/>
    <w:rsid w:val="00ED57A5"/>
    <w:rsid w:val="00FD1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E5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E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6E58"/>
    <w:rPr>
      <w:sz w:val="18"/>
      <w:szCs w:val="18"/>
    </w:rPr>
  </w:style>
  <w:style w:type="paragraph" w:styleId="a4">
    <w:name w:val="footer"/>
    <w:basedOn w:val="a"/>
    <w:link w:val="Char0"/>
    <w:uiPriority w:val="99"/>
    <w:unhideWhenUsed/>
    <w:rsid w:val="002F6E58"/>
    <w:pPr>
      <w:tabs>
        <w:tab w:val="center" w:pos="4153"/>
        <w:tab w:val="right" w:pos="8306"/>
      </w:tabs>
      <w:snapToGrid w:val="0"/>
      <w:jc w:val="left"/>
    </w:pPr>
    <w:rPr>
      <w:sz w:val="18"/>
      <w:szCs w:val="18"/>
    </w:rPr>
  </w:style>
  <w:style w:type="character" w:customStyle="1" w:styleId="Char0">
    <w:name w:val="页脚 Char"/>
    <w:basedOn w:val="a0"/>
    <w:link w:val="a4"/>
    <w:uiPriority w:val="99"/>
    <w:rsid w:val="002F6E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E5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E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6E58"/>
    <w:rPr>
      <w:sz w:val="18"/>
      <w:szCs w:val="18"/>
    </w:rPr>
  </w:style>
  <w:style w:type="paragraph" w:styleId="a4">
    <w:name w:val="footer"/>
    <w:basedOn w:val="a"/>
    <w:link w:val="Char0"/>
    <w:uiPriority w:val="99"/>
    <w:unhideWhenUsed/>
    <w:rsid w:val="002F6E58"/>
    <w:pPr>
      <w:tabs>
        <w:tab w:val="center" w:pos="4153"/>
        <w:tab w:val="right" w:pos="8306"/>
      </w:tabs>
      <w:snapToGrid w:val="0"/>
      <w:jc w:val="left"/>
    </w:pPr>
    <w:rPr>
      <w:sz w:val="18"/>
      <w:szCs w:val="18"/>
    </w:rPr>
  </w:style>
  <w:style w:type="character" w:customStyle="1" w:styleId="Char0">
    <w:name w:val="页脚 Char"/>
    <w:basedOn w:val="a0"/>
    <w:link w:val="a4"/>
    <w:uiPriority w:val="99"/>
    <w:rsid w:val="002F6E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1193</Words>
  <Characters>6805</Characters>
  <Application>Microsoft Office Word</Application>
  <DocSecurity>0</DocSecurity>
  <Lines>56</Lines>
  <Paragraphs>15</Paragraphs>
  <ScaleCrop>false</ScaleCrop>
  <Company>TRCBANK</Company>
  <LinksUpToDate>false</LinksUpToDate>
  <CharactersWithSpaces>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dcterms:created xsi:type="dcterms:W3CDTF">2014-02-14T06:43:00Z</dcterms:created>
  <dcterms:modified xsi:type="dcterms:W3CDTF">2014-02-14T06:44:00Z</dcterms:modified>
</cp:coreProperties>
</file>