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3D66" w:rsidRPr="001C698B" w:rsidRDefault="00F53D66" w:rsidP="00F53D66">
      <w:pPr>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F53D66" w:rsidRPr="001C698B" w:rsidRDefault="00F53D66" w:rsidP="00F53D66">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F53D66" w:rsidRPr="001C698B" w:rsidRDefault="00F53D66" w:rsidP="00F53D66">
      <w:pPr>
        <w:rPr>
          <w:rFonts w:ascii="仿宋_GB2312" w:eastAsia="仿宋_GB2312"/>
          <w:sz w:val="24"/>
        </w:rPr>
      </w:pPr>
      <w:r w:rsidRPr="001C698B">
        <w:rPr>
          <w:rFonts w:ascii="仿宋_GB2312" w:eastAsia="仿宋_GB2312" w:hint="eastAsia"/>
          <w:sz w:val="24"/>
        </w:rPr>
        <w:t>尊敬的理财客户：</w:t>
      </w:r>
    </w:p>
    <w:p w:rsidR="00F53D66" w:rsidRPr="001C698B" w:rsidRDefault="00F53D66" w:rsidP="00F53D66">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F53D66" w:rsidRPr="001C698B" w:rsidRDefault="00F53D66" w:rsidP="00F53D66">
      <w:pPr>
        <w:rPr>
          <w:rFonts w:ascii="仿宋_GB2312" w:eastAsia="仿宋_GB2312"/>
          <w:sz w:val="24"/>
        </w:rPr>
      </w:pPr>
      <w:r w:rsidRPr="001C698B">
        <w:rPr>
          <w:rFonts w:ascii="仿宋_GB2312" w:eastAsia="仿宋_GB2312" w:hint="eastAsia"/>
          <w:sz w:val="24"/>
        </w:rPr>
        <w:t>在投资理财产品之前认真阅读以下内容：</w:t>
      </w:r>
    </w:p>
    <w:p w:rsidR="00F53D66" w:rsidRPr="001C698B" w:rsidRDefault="00F53D66" w:rsidP="00F53D66">
      <w:pPr>
        <w:ind w:firstLineChars="200" w:firstLine="480"/>
        <w:rPr>
          <w:rFonts w:ascii="仿宋_GB2312" w:eastAsia="仿宋_GB2312"/>
          <w:sz w:val="24"/>
        </w:rPr>
      </w:pPr>
      <w:r w:rsidRPr="001C698B">
        <w:rPr>
          <w:rFonts w:ascii="仿宋_GB2312" w:eastAsia="仿宋_GB2312" w:hint="eastAsia"/>
          <w:sz w:val="24"/>
        </w:rPr>
        <w:t>一、理财产品购买流程</w:t>
      </w:r>
    </w:p>
    <w:p w:rsidR="00F53D66" w:rsidRPr="001C698B" w:rsidRDefault="00F53D66" w:rsidP="00F53D66">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F53D66" w:rsidRPr="001C698B" w:rsidRDefault="00F53D66" w:rsidP="00F53D66">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F53D66" w:rsidRPr="001C698B" w:rsidRDefault="00F53D66" w:rsidP="00F53D66">
      <w:pPr>
        <w:ind w:firstLine="480"/>
        <w:rPr>
          <w:rFonts w:ascii="仿宋_GB2312" w:eastAsia="仿宋_GB2312"/>
          <w:sz w:val="24"/>
        </w:rPr>
      </w:pPr>
      <w:r w:rsidRPr="001C698B">
        <w:rPr>
          <w:rFonts w:ascii="仿宋_GB2312" w:eastAsia="仿宋_GB2312" w:hint="eastAsia"/>
          <w:sz w:val="24"/>
        </w:rPr>
        <w:t>二、客户风险承受能力评估</w:t>
      </w:r>
    </w:p>
    <w:p w:rsidR="00F53D66" w:rsidRPr="001C698B" w:rsidRDefault="00F53D66" w:rsidP="00F53D66">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F53D66" w:rsidRPr="001C698B" w:rsidRDefault="00F53D66" w:rsidP="00F53D66">
      <w:pPr>
        <w:ind w:firstLine="480"/>
        <w:rPr>
          <w:rFonts w:ascii="仿宋_GB2312" w:eastAsia="仿宋_GB2312"/>
          <w:sz w:val="24"/>
        </w:rPr>
      </w:pPr>
      <w:r w:rsidRPr="001C698B">
        <w:rPr>
          <w:rFonts w:ascii="仿宋_GB2312" w:eastAsia="仿宋_GB2312" w:hint="eastAsia"/>
          <w:sz w:val="24"/>
        </w:rPr>
        <w:t>三、信息公告</w:t>
      </w:r>
    </w:p>
    <w:p w:rsidR="00F53D66" w:rsidRPr="001C698B" w:rsidRDefault="00F53D66" w:rsidP="00F53D66">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F53D66" w:rsidRPr="001C698B" w:rsidRDefault="00F53D66" w:rsidP="00F53D66">
      <w:pPr>
        <w:ind w:firstLine="480"/>
        <w:rPr>
          <w:rFonts w:ascii="仿宋_GB2312" w:eastAsia="仿宋_GB2312"/>
          <w:sz w:val="24"/>
        </w:rPr>
      </w:pPr>
      <w:r w:rsidRPr="001C698B">
        <w:rPr>
          <w:rFonts w:ascii="仿宋_GB2312" w:eastAsia="仿宋_GB2312" w:hint="eastAsia"/>
          <w:sz w:val="24"/>
        </w:rPr>
        <w:t>四、投诉及建议</w:t>
      </w:r>
    </w:p>
    <w:p w:rsidR="00F53D66" w:rsidRPr="001C698B" w:rsidRDefault="00F53D66" w:rsidP="00F53D66">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F53D66" w:rsidRPr="001C698B" w:rsidRDefault="00F53D66" w:rsidP="00F53D66">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F53D66" w:rsidRPr="001C698B" w:rsidRDefault="00F53D66" w:rsidP="00F53D66">
      <w:pPr>
        <w:rPr>
          <w:rFonts w:ascii="仿宋_GB2312" w:eastAsia="仿宋_GB2312"/>
          <w:sz w:val="24"/>
        </w:rPr>
      </w:pPr>
    </w:p>
    <w:p w:rsidR="00F53D66" w:rsidRPr="001C698B" w:rsidRDefault="00F53D66" w:rsidP="00F53D66">
      <w:pPr>
        <w:rPr>
          <w:rFonts w:ascii="仿宋_GB2312" w:eastAsia="仿宋_GB2312"/>
          <w:sz w:val="24"/>
        </w:rPr>
      </w:pPr>
    </w:p>
    <w:p w:rsidR="00F53D66" w:rsidRPr="001C698B" w:rsidRDefault="00F53D66" w:rsidP="00F53D66">
      <w:pPr>
        <w:rPr>
          <w:rFonts w:ascii="仿宋_GB2312" w:eastAsia="仿宋_GB2312"/>
          <w:sz w:val="24"/>
        </w:rPr>
      </w:pPr>
    </w:p>
    <w:p w:rsidR="00F53D66" w:rsidRPr="001C698B" w:rsidRDefault="00F53D66" w:rsidP="00F53D66">
      <w:pPr>
        <w:rPr>
          <w:rFonts w:ascii="仿宋_GB2312" w:eastAsia="仿宋_GB2312"/>
          <w:sz w:val="24"/>
        </w:rPr>
      </w:pPr>
    </w:p>
    <w:p w:rsidR="00F53D66" w:rsidRPr="001C698B" w:rsidRDefault="00F53D66" w:rsidP="00F53D66">
      <w:pPr>
        <w:rPr>
          <w:rFonts w:ascii="仿宋_GB2312" w:eastAsia="仿宋_GB2312"/>
          <w:sz w:val="24"/>
        </w:rPr>
      </w:pPr>
      <w:r w:rsidRPr="001C698B">
        <w:rPr>
          <w:rFonts w:ascii="仿宋_GB2312" w:eastAsia="仿宋_GB2312" w:hint="eastAsia"/>
          <w:sz w:val="24"/>
        </w:rPr>
        <w:t xml:space="preserve">                                         天津农村商业银行股份有限公司</w:t>
      </w:r>
    </w:p>
    <w:p w:rsidR="00F53D66" w:rsidRPr="001C698B" w:rsidRDefault="00F53D66" w:rsidP="00F53D66">
      <w:pPr>
        <w:rPr>
          <w:rFonts w:ascii="仿宋_GB2312" w:eastAsia="仿宋_GB2312"/>
          <w:b/>
          <w:sz w:val="24"/>
        </w:rPr>
      </w:pPr>
    </w:p>
    <w:p w:rsidR="00F53D66" w:rsidRDefault="00F53D66" w:rsidP="00F53D66">
      <w:pPr>
        <w:jc w:val="center"/>
        <w:rPr>
          <w:rFonts w:ascii="仿宋_GB2312" w:eastAsia="仿宋_GB2312"/>
          <w:b/>
          <w:sz w:val="28"/>
          <w:szCs w:val="28"/>
        </w:rPr>
      </w:pPr>
    </w:p>
    <w:p w:rsidR="00F53D66" w:rsidRPr="001C698B" w:rsidRDefault="00F53D66" w:rsidP="00F53D66">
      <w:pPr>
        <w:jc w:val="center"/>
        <w:rPr>
          <w:rFonts w:ascii="仿宋_GB2312" w:eastAsia="仿宋_GB2312"/>
          <w:b/>
          <w:sz w:val="28"/>
          <w:szCs w:val="28"/>
        </w:rPr>
      </w:pPr>
    </w:p>
    <w:p w:rsidR="00F53D66" w:rsidRPr="001C698B" w:rsidRDefault="00F53D66" w:rsidP="00F53D66">
      <w:pPr>
        <w:rPr>
          <w:rFonts w:ascii="仿宋_GB2312" w:eastAsia="仿宋_GB2312"/>
          <w:b/>
          <w:sz w:val="24"/>
        </w:rPr>
      </w:pPr>
    </w:p>
    <w:p w:rsidR="00F53D66" w:rsidRDefault="00F53D66" w:rsidP="00F53D66">
      <w:pPr>
        <w:jc w:val="center"/>
        <w:rPr>
          <w:rFonts w:ascii="仿宋_GB2312" w:eastAsia="仿宋_GB2312" w:hint="eastAsia"/>
          <w:b/>
          <w:sz w:val="28"/>
          <w:szCs w:val="28"/>
        </w:rPr>
      </w:pPr>
    </w:p>
    <w:p w:rsidR="00F53D66" w:rsidRPr="001C698B" w:rsidRDefault="00F53D66" w:rsidP="00F53D66">
      <w:pPr>
        <w:jc w:val="center"/>
        <w:rPr>
          <w:rFonts w:ascii="仿宋_GB2312" w:eastAsia="仿宋_GB2312"/>
          <w:b/>
          <w:sz w:val="28"/>
          <w:szCs w:val="28"/>
        </w:rPr>
      </w:pPr>
      <w:bookmarkStart w:id="0" w:name="_GoBack"/>
      <w:bookmarkEnd w:id="0"/>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F53D66" w:rsidRPr="001C698B" w:rsidRDefault="00F53D66" w:rsidP="00F53D66">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F53D66" w:rsidRPr="001C698B" w:rsidRDefault="00F53D66" w:rsidP="00F53D66">
      <w:pPr>
        <w:jc w:val="center"/>
        <w:rPr>
          <w:rFonts w:ascii="仿宋_GB2312" w:eastAsia="仿宋_GB2312"/>
          <w:b/>
          <w:sz w:val="28"/>
          <w:szCs w:val="28"/>
        </w:rPr>
      </w:pPr>
      <w:r>
        <w:rPr>
          <w:rFonts w:ascii="仿宋_GB2312" w:eastAsia="仿宋_GB2312" w:hint="eastAsia"/>
          <w:b/>
          <w:noProof/>
          <w:sz w:val="28"/>
          <w:szCs w:val="28"/>
        </w:rPr>
        <mc:AlternateContent>
          <mc:Choice Requires="wps">
            <w:drawing>
              <wp:anchor distT="0" distB="0" distL="114300" distR="114300" simplePos="0" relativeHeight="251659264" behindDoc="0" locked="0" layoutInCell="1" allowOverlap="1" wp14:anchorId="71E6A797" wp14:editId="38B83954">
                <wp:simplePos x="0" y="0"/>
                <wp:positionH relativeFrom="column">
                  <wp:posOffset>965200</wp:posOffset>
                </wp:positionH>
                <wp:positionV relativeFrom="paragraph">
                  <wp:posOffset>60960</wp:posOffset>
                </wp:positionV>
                <wp:extent cx="3448050" cy="482600"/>
                <wp:effectExtent l="12700" t="5715" r="6350" b="6985"/>
                <wp:wrapNone/>
                <wp:docPr id="3" name="圆角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F53D66" w:rsidRPr="00CD0FCC" w:rsidRDefault="00F53D66" w:rsidP="00F53D6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53D66" w:rsidRPr="00420C15" w:rsidRDefault="00F53D66" w:rsidP="00F53D66">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3"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">
                <v:textbox>
                  <w:txbxContent>
                    <w:p w:rsidR="00F53D66" w:rsidRPr="00CD0FCC" w:rsidRDefault="00F53D66" w:rsidP="00F53D66">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F53D66" w:rsidRPr="00420C15" w:rsidRDefault="00F53D66" w:rsidP="00F53D66">
                      <w:pPr>
                        <w:rPr>
                          <w:rFonts w:ascii="华文中宋" w:eastAsia="华文中宋" w:hAnsi="华文中宋"/>
                          <w:b/>
                          <w:sz w:val="28"/>
                          <w:szCs w:val="28"/>
                        </w:rPr>
                      </w:pPr>
                    </w:p>
                  </w:txbxContent>
                </v:textbox>
              </v:roundrect>
            </w:pict>
          </mc:Fallback>
        </mc:AlternateContent>
      </w:r>
    </w:p>
    <w:p w:rsidR="00F53D66" w:rsidRPr="001C698B" w:rsidRDefault="00F53D66" w:rsidP="00F53D66">
      <w:pPr>
        <w:rPr>
          <w:rFonts w:ascii="仿宋_GB2312" w:eastAsia="仿宋_GB2312"/>
          <w:szCs w:val="21"/>
        </w:rPr>
      </w:pPr>
    </w:p>
    <w:p w:rsidR="00F53D66" w:rsidRPr="001C698B" w:rsidRDefault="00F53D66" w:rsidP="00F53D66">
      <w:pPr>
        <w:rPr>
          <w:rFonts w:ascii="仿宋_GB2312" w:eastAsia="仿宋_GB2312"/>
          <w:szCs w:val="21"/>
        </w:rPr>
      </w:pPr>
      <w:r w:rsidRPr="001C698B">
        <w:rPr>
          <w:rFonts w:ascii="仿宋_GB2312" w:eastAsia="仿宋_GB2312" w:hint="eastAsia"/>
          <w:szCs w:val="21"/>
        </w:rPr>
        <w:t xml:space="preserve">尊敬的客户： </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F53D66" w:rsidRPr="001C698B" w:rsidRDefault="00F53D66" w:rsidP="00F53D66">
      <w:pPr>
        <w:ind w:firstLineChars="200" w:firstLine="422"/>
        <w:rPr>
          <w:rFonts w:ascii="仿宋_GB2312" w:eastAsia="仿宋_GB2312"/>
          <w:b/>
          <w:szCs w:val="21"/>
        </w:rPr>
      </w:pPr>
      <w:r w:rsidRPr="001C698B">
        <w:rPr>
          <w:rFonts w:ascii="仿宋_GB2312" w:eastAsia="仿宋_GB2312" w:hint="eastAsia"/>
          <w:b/>
          <w:szCs w:val="21"/>
        </w:rPr>
        <w:t>重要须知：</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“宝益得”系列理财产品</w:t>
      </w:r>
      <w:r w:rsidRPr="001C698B">
        <w:rPr>
          <w:rFonts w:ascii="仿宋_GB2312" w:eastAsia="仿宋_GB2312" w:hint="eastAsia"/>
          <w:szCs w:val="21"/>
        </w:rPr>
        <w:t xml:space="preserve">适合于风险类型为稳健型（含）以上的、有投资经验或无投资经验的个人投资者； </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三）本系列产品为非保本浮动收益类理财产品，不保证本金及收益，任何预期收益、预期最高收益、预计收益、测算收益或类似表述均属不具有法律约束力的用语，不代表投资者可能获得的实际收益，亦不构成天津农村商业银行对本理财产品的任何收益承诺；</w:t>
      </w:r>
      <w:r w:rsidRPr="001C698B">
        <w:rPr>
          <w:rFonts w:eastAsia="仿宋_GB2312" w:hint="eastAsia"/>
          <w:szCs w:val="21"/>
        </w:rPr>
        <w:t> </w:t>
      </w:r>
      <w:r w:rsidRPr="001C698B">
        <w:rPr>
          <w:rFonts w:ascii="仿宋_GB2312" w:eastAsia="仿宋_GB2312" w:hint="eastAsia"/>
          <w:szCs w:val="21"/>
        </w:rPr>
        <w:t xml:space="preserve"> </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F53D66" w:rsidRPr="001C698B" w:rsidRDefault="00F53D66" w:rsidP="00F53D66">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 xml:space="preserve">（一）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 </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（二）市场风险：“宝益得”系列理财产品收益不随市场利率波动而调整，客户的收益可能因市场利率变化而相对降低。</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（三）流动性风险：“宝益得”系列理财产品在存续期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 xml:space="preserve">（四）政策风险：“宝益得”系列理财产品是针对当前的相关法规和政策设计的。如国家宏观政策以及市场相关法规政策发生变化，可能影响理财产品的受理、投资、偿还等的正常进行，甚至导致本系列理财产品收益降低。 </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（五）信息传递风险：“宝益得”系列理财产品存续期内不提供账单，投资者应根据本理财产品说明书所载明的公告方式及时查询本理财产品的相关信息。我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w:t>
      </w:r>
      <w:r w:rsidRPr="001C698B">
        <w:rPr>
          <w:rFonts w:ascii="仿宋_GB2312" w:eastAsia="仿宋_GB2312" w:hint="eastAsia"/>
          <w:szCs w:val="21"/>
        </w:rPr>
        <w:lastRenderedPageBreak/>
        <w:t xml:space="preserve">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判断难以按照本系列产品说明书规定向客户提供“宝益得”系列理财产品，我行有权宣布该产品不成立。</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八）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F53D66" w:rsidRPr="001C698B" w:rsidRDefault="00F53D66" w:rsidP="00F53D66">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（十）最不利的投资情形：如因金融市场发生重大不利变动，或产品投资的债务人出现信用状况严重恶化或清盘破产等情况，投资者理财本金可能会有部分或全部损失，理财产品收益率可能为零。</w:t>
      </w:r>
    </w:p>
    <w:p w:rsidR="00F53D66" w:rsidRPr="001134D3" w:rsidRDefault="00F53D66" w:rsidP="00F53D66">
      <w:pPr>
        <w:rPr>
          <w:rFonts w:ascii="仿宋_GB2312" w:eastAsia="仿宋_GB2312"/>
          <w:b/>
          <w:szCs w:val="21"/>
        </w:rPr>
      </w:pPr>
    </w:p>
    <w:p w:rsidR="00F53D66" w:rsidRPr="0040517D" w:rsidRDefault="00F53D66" w:rsidP="00F53D66">
      <w:pPr>
        <w:ind w:firstLineChars="200" w:firstLine="422"/>
        <w:rPr>
          <w:rFonts w:ascii="仿宋_GB2312" w:eastAsia="仿宋_GB2312"/>
          <w:szCs w:val="21"/>
        </w:rPr>
      </w:pPr>
      <w:r w:rsidRPr="001C698B">
        <w:rPr>
          <w:rFonts w:ascii="仿宋_GB2312" w:eastAsia="仿宋_GB2312" w:hint="eastAsia"/>
          <w:b/>
          <w:szCs w:val="21"/>
        </w:rPr>
        <w:t>产品特征</w:t>
      </w:r>
      <w:r w:rsidRPr="0040517D">
        <w:rPr>
          <w:rFonts w:ascii="仿宋_GB2312" w:eastAsia="仿宋_GB2312" w:hint="eastAsia"/>
          <w:szCs w:val="21"/>
        </w:rPr>
        <w:t>：</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F53D66" w:rsidRPr="001C698B" w:rsidTr="00515623">
        <w:trPr>
          <w:trHeight w:val="397"/>
        </w:trPr>
        <w:tc>
          <w:tcPr>
            <w:tcW w:w="1246" w:type="dxa"/>
            <w:vMerge w:val="restart"/>
            <w:shd w:val="clear" w:color="auto" w:fill="auto"/>
            <w:vAlign w:val="center"/>
          </w:tcPr>
          <w:p w:rsidR="00F53D66" w:rsidRPr="001C698B" w:rsidRDefault="00F53D66" w:rsidP="00515623">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F53D66" w:rsidRPr="001C698B" w:rsidRDefault="00F53D66" w:rsidP="00515623">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r>
              <w:rPr>
                <w:rFonts w:ascii="仿宋_GB2312" w:eastAsia="仿宋_GB2312" w:hint="eastAsia"/>
                <w:szCs w:val="21"/>
              </w:rPr>
              <w:t>宝益得第20期-滨海专属</w:t>
            </w:r>
            <w:r w:rsidRPr="001C698B">
              <w:rPr>
                <w:rFonts w:ascii="仿宋_GB2312" w:eastAsia="仿宋_GB2312" w:hint="eastAsia"/>
                <w:szCs w:val="21"/>
              </w:rPr>
              <w:t>人民币理财产品；</w:t>
            </w:r>
          </w:p>
        </w:tc>
      </w:tr>
      <w:tr w:rsidR="00F53D66" w:rsidRPr="001C698B" w:rsidTr="00515623">
        <w:trPr>
          <w:trHeight w:val="397"/>
        </w:trPr>
        <w:tc>
          <w:tcPr>
            <w:tcW w:w="1246" w:type="dxa"/>
            <w:vMerge/>
            <w:shd w:val="clear" w:color="auto" w:fill="auto"/>
            <w:vAlign w:val="center"/>
          </w:tcPr>
          <w:p w:rsidR="00F53D66" w:rsidRPr="001C698B" w:rsidRDefault="00F53D66" w:rsidP="00515623">
            <w:pPr>
              <w:ind w:firstLineChars="200" w:firstLine="420"/>
              <w:rPr>
                <w:rFonts w:ascii="仿宋_GB2312" w:eastAsia="仿宋_GB2312"/>
                <w:szCs w:val="21"/>
              </w:rPr>
            </w:pPr>
          </w:p>
        </w:tc>
        <w:tc>
          <w:tcPr>
            <w:tcW w:w="7691" w:type="dxa"/>
            <w:shd w:val="clear" w:color="auto" w:fill="auto"/>
            <w:vAlign w:val="center"/>
          </w:tcPr>
          <w:p w:rsidR="00F53D66" w:rsidRPr="001C698B" w:rsidRDefault="00F53D66" w:rsidP="00515623">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BYD1920-BHZS</w:t>
            </w:r>
          </w:p>
        </w:tc>
      </w:tr>
      <w:tr w:rsidR="00F53D66" w:rsidRPr="001C698B" w:rsidTr="00515623">
        <w:trPr>
          <w:trHeight w:val="397"/>
        </w:trPr>
        <w:tc>
          <w:tcPr>
            <w:tcW w:w="1246" w:type="dxa"/>
            <w:shd w:val="clear" w:color="auto" w:fill="auto"/>
            <w:vAlign w:val="center"/>
          </w:tcPr>
          <w:p w:rsidR="00F53D66" w:rsidRPr="001C698B" w:rsidRDefault="00F53D66" w:rsidP="00515623">
            <w:pPr>
              <w:ind w:leftChars="200" w:left="420"/>
              <w:jc w:val="left"/>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F53D66" w:rsidRPr="001C698B" w:rsidRDefault="00F53D66" w:rsidP="00515623">
            <w:pPr>
              <w:ind w:firstLineChars="200" w:firstLine="420"/>
              <w:rPr>
                <w:rFonts w:ascii="仿宋_GB2312" w:eastAsia="仿宋_GB2312"/>
                <w:szCs w:val="21"/>
              </w:rPr>
            </w:pPr>
            <w:r w:rsidRPr="001C698B">
              <w:rPr>
                <w:rFonts w:ascii="仿宋_GB2312" w:eastAsia="仿宋_GB2312" w:hint="eastAsia"/>
                <w:szCs w:val="21"/>
              </w:rPr>
              <w:t>非保本浮动收益型</w:t>
            </w:r>
          </w:p>
        </w:tc>
      </w:tr>
      <w:tr w:rsidR="00F53D66" w:rsidRPr="001C698B" w:rsidTr="00515623">
        <w:trPr>
          <w:trHeight w:val="397"/>
        </w:trPr>
        <w:tc>
          <w:tcPr>
            <w:tcW w:w="1246" w:type="dxa"/>
            <w:shd w:val="clear" w:color="auto" w:fill="auto"/>
            <w:vAlign w:val="center"/>
          </w:tcPr>
          <w:p w:rsidR="00F53D66" w:rsidRPr="001C698B" w:rsidRDefault="00F53D66" w:rsidP="00515623">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F53D66" w:rsidRPr="001C698B" w:rsidRDefault="00F53D66" w:rsidP="00515623">
            <w:pPr>
              <w:ind w:firstLineChars="200" w:firstLine="420"/>
              <w:rPr>
                <w:rFonts w:ascii="仿宋_GB2312" w:eastAsia="仿宋_GB2312"/>
                <w:szCs w:val="21"/>
              </w:rPr>
            </w:pPr>
            <w:r>
              <w:rPr>
                <w:rFonts w:ascii="仿宋_GB2312" w:eastAsia="仿宋_GB2312" w:hint="eastAsia"/>
                <w:szCs w:val="21"/>
              </w:rPr>
              <w:t>“宝益得”</w:t>
            </w:r>
            <w:r w:rsidRPr="001C698B">
              <w:rPr>
                <w:rFonts w:ascii="仿宋_GB2312" w:eastAsia="仿宋_GB2312" w:hint="eastAsia"/>
                <w:szCs w:val="21"/>
              </w:rPr>
              <w:t>系列人民币理财产品适合于风险类型为稳健型（含）以上的、有无投资经验的个人投资者均可</w:t>
            </w:r>
          </w:p>
        </w:tc>
      </w:tr>
      <w:tr w:rsidR="00F53D66" w:rsidRPr="001C698B" w:rsidTr="00515623">
        <w:trPr>
          <w:trHeight w:val="397"/>
        </w:trPr>
        <w:tc>
          <w:tcPr>
            <w:tcW w:w="1246" w:type="dxa"/>
            <w:shd w:val="clear" w:color="auto" w:fill="auto"/>
            <w:vAlign w:val="center"/>
          </w:tcPr>
          <w:p w:rsidR="00F53D66" w:rsidRPr="001C698B" w:rsidRDefault="00F53D66" w:rsidP="00515623">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F53D66" w:rsidRPr="001C698B" w:rsidRDefault="00F53D66" w:rsidP="00515623">
            <w:pPr>
              <w:ind w:firstLineChars="200" w:firstLine="420"/>
              <w:rPr>
                <w:rFonts w:ascii="仿宋_GB2312" w:eastAsia="仿宋_GB2312"/>
                <w:szCs w:val="21"/>
              </w:rPr>
            </w:pPr>
            <w:r w:rsidRPr="001C698B">
              <w:rPr>
                <w:rFonts w:ascii="仿宋_GB2312" w:eastAsia="仿宋_GB2312" w:hint="eastAsia"/>
                <w:szCs w:val="21"/>
              </w:rPr>
              <w:t>人民币</w:t>
            </w:r>
          </w:p>
        </w:tc>
      </w:tr>
      <w:tr w:rsidR="00F53D66" w:rsidRPr="001C698B" w:rsidTr="00515623">
        <w:trPr>
          <w:trHeight w:val="397"/>
        </w:trPr>
        <w:tc>
          <w:tcPr>
            <w:tcW w:w="1246" w:type="dxa"/>
            <w:shd w:val="clear" w:color="auto" w:fill="auto"/>
            <w:vAlign w:val="center"/>
          </w:tcPr>
          <w:p w:rsidR="00F53D66" w:rsidRPr="001C698B" w:rsidRDefault="00F53D66" w:rsidP="00515623">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F53D66" w:rsidRPr="001C698B" w:rsidRDefault="00F53D66" w:rsidP="00515623">
            <w:pPr>
              <w:ind w:firstLineChars="200" w:firstLine="420"/>
              <w:rPr>
                <w:rFonts w:ascii="仿宋_GB2312" w:eastAsia="仿宋_GB2312"/>
                <w:szCs w:val="21"/>
              </w:rPr>
            </w:pPr>
            <w:r>
              <w:rPr>
                <w:rFonts w:ascii="仿宋_GB2312" w:eastAsia="仿宋_GB2312" w:hint="eastAsia"/>
                <w:szCs w:val="21"/>
              </w:rPr>
              <w:t>254天</w:t>
            </w:r>
          </w:p>
          <w:p w:rsidR="00F53D66" w:rsidRPr="001C698B" w:rsidRDefault="00F53D66" w:rsidP="00515623">
            <w:pPr>
              <w:ind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bl>
    <w:p w:rsidR="00F53D66" w:rsidRPr="001C698B" w:rsidRDefault="00F53D66" w:rsidP="00F53D66">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F53D66" w:rsidRPr="001C698B" w:rsidTr="00515623">
        <w:trPr>
          <w:cantSplit/>
          <w:trHeight w:val="495"/>
        </w:trPr>
        <w:tc>
          <w:tcPr>
            <w:tcW w:w="1242" w:type="dxa"/>
            <w:vMerge w:val="restart"/>
          </w:tcPr>
          <w:p w:rsidR="00F53D66" w:rsidRPr="001C698B" w:rsidRDefault="00F53D66" w:rsidP="00515623">
            <w:pPr>
              <w:ind w:firstLineChars="200" w:firstLine="420"/>
              <w:rPr>
                <w:rFonts w:ascii="仿宋_GB2312" w:eastAsia="仿宋_GB2312"/>
                <w:szCs w:val="21"/>
              </w:rPr>
            </w:pPr>
          </w:p>
          <w:p w:rsidR="00F53D66" w:rsidRPr="001C698B" w:rsidRDefault="00F53D66" w:rsidP="00515623">
            <w:pPr>
              <w:ind w:firstLineChars="200" w:firstLine="420"/>
              <w:rPr>
                <w:rFonts w:ascii="仿宋_GB2312" w:eastAsia="仿宋_GB2312"/>
                <w:szCs w:val="21"/>
              </w:rPr>
            </w:pPr>
          </w:p>
          <w:p w:rsidR="00F53D66" w:rsidRPr="001C698B" w:rsidRDefault="00F53D66" w:rsidP="00515623">
            <w:pPr>
              <w:rPr>
                <w:rFonts w:ascii="仿宋_GB2312" w:eastAsia="仿宋_GB2312"/>
                <w:szCs w:val="21"/>
              </w:rPr>
            </w:pPr>
          </w:p>
          <w:p w:rsidR="00F53D66" w:rsidRPr="001C698B" w:rsidRDefault="00F53D66" w:rsidP="00515623">
            <w:pPr>
              <w:rPr>
                <w:rFonts w:ascii="仿宋_GB2312" w:eastAsia="仿宋_GB2312"/>
                <w:szCs w:val="21"/>
              </w:rPr>
            </w:pPr>
            <w:r w:rsidRPr="001C698B">
              <w:rPr>
                <w:rFonts w:ascii="仿宋_GB2312" w:eastAsia="仿宋_GB2312" w:hint="eastAsia"/>
                <w:szCs w:val="21"/>
              </w:rPr>
              <w:t>内部</w:t>
            </w:r>
          </w:p>
          <w:p w:rsidR="00F53D66" w:rsidRPr="001C698B" w:rsidRDefault="00F53D66" w:rsidP="00515623">
            <w:pPr>
              <w:rPr>
                <w:rFonts w:ascii="仿宋_GB2312" w:eastAsia="仿宋_GB2312"/>
                <w:szCs w:val="21"/>
              </w:rPr>
            </w:pPr>
            <w:r w:rsidRPr="001C698B">
              <w:rPr>
                <w:rFonts w:ascii="仿宋_GB2312" w:eastAsia="仿宋_GB2312" w:hint="eastAsia"/>
                <w:szCs w:val="21"/>
              </w:rPr>
              <w:t>风险</w:t>
            </w:r>
          </w:p>
          <w:p w:rsidR="00F53D66" w:rsidRPr="001C698B" w:rsidRDefault="00F53D66" w:rsidP="00515623">
            <w:pPr>
              <w:rPr>
                <w:rFonts w:ascii="仿宋_GB2312" w:eastAsia="仿宋_GB2312"/>
                <w:szCs w:val="21"/>
              </w:rPr>
            </w:pPr>
            <w:r w:rsidRPr="001C698B">
              <w:rPr>
                <w:rFonts w:ascii="仿宋_GB2312" w:eastAsia="仿宋_GB2312" w:hint="eastAsia"/>
                <w:szCs w:val="21"/>
              </w:rPr>
              <w:t>评级</w:t>
            </w:r>
          </w:p>
        </w:tc>
        <w:tc>
          <w:tcPr>
            <w:tcW w:w="7655" w:type="dxa"/>
            <w:gridSpan w:val="4"/>
          </w:tcPr>
          <w:p w:rsidR="00F53D66" w:rsidRPr="001C698B" w:rsidRDefault="00F53D66" w:rsidP="00515623">
            <w:pPr>
              <w:rPr>
                <w:rFonts w:ascii="仿宋_GB2312" w:eastAsia="仿宋_GB2312"/>
                <w:szCs w:val="21"/>
              </w:rPr>
            </w:pPr>
            <w:r w:rsidRPr="001C698B">
              <w:rPr>
                <w:rFonts w:ascii="仿宋_GB2312" w:eastAsia="仿宋_GB2312" w:hint="eastAsia"/>
                <w:szCs w:val="21"/>
              </w:rPr>
              <w:t>“宝益得”系列理财产品内部风险评级为：</w:t>
            </w:r>
            <w:r w:rsidRPr="001C698B">
              <w:rPr>
                <w:rFonts w:ascii="仿宋_GB2312" w:eastAsia="仿宋_GB2312" w:hAnsi="宋体" w:cs="宋体" w:hint="eastAsia"/>
                <w:b/>
                <w:bCs/>
                <w:szCs w:val="21"/>
              </w:rPr>
              <w:t>★★</w:t>
            </w:r>
            <w:r w:rsidRPr="001C698B">
              <w:rPr>
                <w:rFonts w:ascii="仿宋_GB2312" w:eastAsia="仿宋_GB2312" w:hint="eastAsia"/>
                <w:szCs w:val="21"/>
              </w:rPr>
              <w:t>；</w:t>
            </w:r>
          </w:p>
          <w:p w:rsidR="00F53D66" w:rsidRPr="001C698B" w:rsidRDefault="00F53D66" w:rsidP="00515623">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F53D66" w:rsidRPr="001C698B" w:rsidTr="00515623">
        <w:trPr>
          <w:cantSplit/>
          <w:trHeight w:val="337"/>
        </w:trPr>
        <w:tc>
          <w:tcPr>
            <w:tcW w:w="1242" w:type="dxa"/>
            <w:vMerge/>
          </w:tcPr>
          <w:p w:rsidR="00F53D66" w:rsidRPr="001C698B" w:rsidRDefault="00F53D66" w:rsidP="00515623">
            <w:pPr>
              <w:ind w:firstLineChars="200" w:firstLine="420"/>
              <w:rPr>
                <w:rFonts w:ascii="仿宋_GB2312" w:eastAsia="仿宋_GB2312"/>
                <w:szCs w:val="21"/>
              </w:rPr>
            </w:pPr>
          </w:p>
        </w:tc>
        <w:tc>
          <w:tcPr>
            <w:tcW w:w="2410"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产品风险星级</w:t>
            </w:r>
          </w:p>
        </w:tc>
        <w:tc>
          <w:tcPr>
            <w:tcW w:w="1124"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风险程度</w:t>
            </w:r>
          </w:p>
        </w:tc>
        <w:tc>
          <w:tcPr>
            <w:tcW w:w="1424"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适合投资者</w:t>
            </w:r>
          </w:p>
        </w:tc>
        <w:tc>
          <w:tcPr>
            <w:tcW w:w="2697"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适合投资策略</w:t>
            </w:r>
          </w:p>
        </w:tc>
      </w:tr>
      <w:tr w:rsidR="00F53D66" w:rsidRPr="001C698B" w:rsidTr="00515623">
        <w:trPr>
          <w:cantSplit/>
          <w:trHeight w:val="271"/>
        </w:trPr>
        <w:tc>
          <w:tcPr>
            <w:tcW w:w="1242" w:type="dxa"/>
            <w:vMerge/>
          </w:tcPr>
          <w:p w:rsidR="00F53D66" w:rsidRPr="001C698B" w:rsidRDefault="00F53D66" w:rsidP="00515623">
            <w:pPr>
              <w:ind w:firstLineChars="200" w:firstLine="420"/>
              <w:rPr>
                <w:rFonts w:ascii="仿宋_GB2312" w:eastAsia="仿宋_GB2312"/>
                <w:szCs w:val="21"/>
              </w:rPr>
            </w:pPr>
          </w:p>
        </w:tc>
        <w:tc>
          <w:tcPr>
            <w:tcW w:w="2410" w:type="dxa"/>
          </w:tcPr>
          <w:p w:rsidR="00F53D66" w:rsidRPr="001C698B" w:rsidRDefault="00F53D66" w:rsidP="0051562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低</w:t>
            </w:r>
          </w:p>
        </w:tc>
        <w:tc>
          <w:tcPr>
            <w:tcW w:w="1424"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保守型</w:t>
            </w:r>
          </w:p>
        </w:tc>
        <w:tc>
          <w:tcPr>
            <w:tcW w:w="2697"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风险控制</w:t>
            </w:r>
          </w:p>
        </w:tc>
      </w:tr>
      <w:tr w:rsidR="00F53D66" w:rsidRPr="001C698B" w:rsidTr="00515623">
        <w:trPr>
          <w:cantSplit/>
          <w:trHeight w:val="233"/>
        </w:trPr>
        <w:tc>
          <w:tcPr>
            <w:tcW w:w="1242" w:type="dxa"/>
            <w:vMerge/>
          </w:tcPr>
          <w:p w:rsidR="00F53D66" w:rsidRPr="001C698B" w:rsidRDefault="00F53D66" w:rsidP="00515623">
            <w:pPr>
              <w:ind w:firstLineChars="200" w:firstLine="420"/>
              <w:rPr>
                <w:rFonts w:ascii="仿宋_GB2312" w:eastAsia="仿宋_GB2312"/>
                <w:szCs w:val="21"/>
              </w:rPr>
            </w:pPr>
          </w:p>
        </w:tc>
        <w:tc>
          <w:tcPr>
            <w:tcW w:w="2410" w:type="dxa"/>
          </w:tcPr>
          <w:p w:rsidR="00F53D66" w:rsidRPr="001C698B" w:rsidRDefault="00F53D66" w:rsidP="0051562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较低</w:t>
            </w:r>
          </w:p>
        </w:tc>
        <w:tc>
          <w:tcPr>
            <w:tcW w:w="1424"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稳健型</w:t>
            </w:r>
          </w:p>
        </w:tc>
        <w:tc>
          <w:tcPr>
            <w:tcW w:w="2697"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稳健发展</w:t>
            </w:r>
          </w:p>
        </w:tc>
      </w:tr>
      <w:tr w:rsidR="00F53D66" w:rsidRPr="001C698B" w:rsidTr="00515623">
        <w:trPr>
          <w:cantSplit/>
          <w:trHeight w:val="337"/>
        </w:trPr>
        <w:tc>
          <w:tcPr>
            <w:tcW w:w="1242" w:type="dxa"/>
            <w:vMerge/>
          </w:tcPr>
          <w:p w:rsidR="00F53D66" w:rsidRPr="001C698B" w:rsidRDefault="00F53D66" w:rsidP="00515623">
            <w:pPr>
              <w:ind w:firstLineChars="200" w:firstLine="420"/>
              <w:rPr>
                <w:rFonts w:ascii="仿宋_GB2312" w:eastAsia="仿宋_GB2312"/>
                <w:szCs w:val="21"/>
              </w:rPr>
            </w:pPr>
          </w:p>
        </w:tc>
        <w:tc>
          <w:tcPr>
            <w:tcW w:w="2410" w:type="dxa"/>
          </w:tcPr>
          <w:p w:rsidR="00F53D66" w:rsidRPr="001C698B" w:rsidRDefault="00F53D66" w:rsidP="0051562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中</w:t>
            </w:r>
          </w:p>
        </w:tc>
        <w:tc>
          <w:tcPr>
            <w:tcW w:w="1424"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平衡型</w:t>
            </w:r>
          </w:p>
        </w:tc>
        <w:tc>
          <w:tcPr>
            <w:tcW w:w="2697" w:type="dxa"/>
          </w:tcPr>
          <w:p w:rsidR="00F53D66" w:rsidRPr="001C698B" w:rsidRDefault="00F53D66" w:rsidP="00515623">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F53D66" w:rsidRPr="001C698B" w:rsidTr="00515623">
        <w:trPr>
          <w:cantSplit/>
          <w:trHeight w:val="271"/>
        </w:trPr>
        <w:tc>
          <w:tcPr>
            <w:tcW w:w="1242" w:type="dxa"/>
            <w:vMerge/>
          </w:tcPr>
          <w:p w:rsidR="00F53D66" w:rsidRPr="001C698B" w:rsidRDefault="00F53D66" w:rsidP="00515623">
            <w:pPr>
              <w:ind w:firstLineChars="200" w:firstLine="420"/>
              <w:rPr>
                <w:rFonts w:ascii="仿宋_GB2312" w:eastAsia="仿宋_GB2312"/>
                <w:szCs w:val="21"/>
              </w:rPr>
            </w:pPr>
          </w:p>
        </w:tc>
        <w:tc>
          <w:tcPr>
            <w:tcW w:w="2410" w:type="dxa"/>
          </w:tcPr>
          <w:p w:rsidR="00F53D66" w:rsidRPr="001C698B" w:rsidRDefault="00F53D66" w:rsidP="0051562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较高</w:t>
            </w:r>
          </w:p>
        </w:tc>
        <w:tc>
          <w:tcPr>
            <w:tcW w:w="1424"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成长型</w:t>
            </w:r>
          </w:p>
        </w:tc>
        <w:tc>
          <w:tcPr>
            <w:tcW w:w="2697"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积极进取</w:t>
            </w:r>
          </w:p>
        </w:tc>
      </w:tr>
      <w:tr w:rsidR="00F53D66" w:rsidRPr="001C698B" w:rsidTr="00515623">
        <w:trPr>
          <w:cantSplit/>
          <w:trHeight w:val="233"/>
        </w:trPr>
        <w:tc>
          <w:tcPr>
            <w:tcW w:w="1242" w:type="dxa"/>
            <w:vMerge/>
          </w:tcPr>
          <w:p w:rsidR="00F53D66" w:rsidRPr="001C698B" w:rsidRDefault="00F53D66" w:rsidP="00515623">
            <w:pPr>
              <w:ind w:firstLineChars="200" w:firstLine="420"/>
              <w:rPr>
                <w:rFonts w:ascii="仿宋_GB2312" w:eastAsia="仿宋_GB2312"/>
                <w:szCs w:val="21"/>
              </w:rPr>
            </w:pPr>
          </w:p>
        </w:tc>
        <w:tc>
          <w:tcPr>
            <w:tcW w:w="2410" w:type="dxa"/>
          </w:tcPr>
          <w:p w:rsidR="00F53D66" w:rsidRPr="001C698B" w:rsidRDefault="00F53D66" w:rsidP="00515623">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高</w:t>
            </w:r>
          </w:p>
        </w:tc>
        <w:tc>
          <w:tcPr>
            <w:tcW w:w="1424"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进取型</w:t>
            </w:r>
          </w:p>
        </w:tc>
        <w:tc>
          <w:tcPr>
            <w:tcW w:w="2697" w:type="dxa"/>
          </w:tcPr>
          <w:p w:rsidR="00F53D66" w:rsidRPr="001C698B" w:rsidRDefault="00F53D66" w:rsidP="00515623">
            <w:pPr>
              <w:rPr>
                <w:rFonts w:ascii="仿宋_GB2312" w:eastAsia="仿宋_GB2312"/>
                <w:szCs w:val="21"/>
              </w:rPr>
            </w:pPr>
            <w:r w:rsidRPr="001C698B">
              <w:rPr>
                <w:rFonts w:ascii="仿宋_GB2312" w:eastAsia="仿宋_GB2312" w:hint="eastAsia"/>
                <w:bCs/>
                <w:szCs w:val="21"/>
              </w:rPr>
              <w:t>风险承受</w:t>
            </w:r>
          </w:p>
        </w:tc>
      </w:tr>
    </w:tbl>
    <w:p w:rsidR="00F53D66" w:rsidRPr="001C698B" w:rsidRDefault="00F53D66" w:rsidP="00F53D66">
      <w:pPr>
        <w:spacing w:line="500" w:lineRule="exact"/>
        <w:rPr>
          <w:rFonts w:ascii="仿宋_GB2312" w:eastAsia="仿宋_GB2312"/>
          <w:b/>
          <w:sz w:val="24"/>
        </w:rPr>
      </w:pPr>
    </w:p>
    <w:p w:rsidR="00F53D66" w:rsidRPr="00635091" w:rsidRDefault="00F53D66" w:rsidP="00F53D66">
      <w:pPr>
        <w:spacing w:line="360" w:lineRule="auto"/>
        <w:ind w:firstLineChars="200" w:firstLine="482"/>
        <w:rPr>
          <w:rFonts w:ascii="仿宋_GB2312" w:eastAsia="仿宋_GB2312"/>
          <w:b/>
          <w:sz w:val="24"/>
          <w:szCs w:val="24"/>
        </w:rPr>
      </w:pPr>
      <w:r w:rsidRPr="001C698B">
        <w:rPr>
          <w:rFonts w:ascii="仿宋_GB2312" w:eastAsia="仿宋_GB2312" w:hint="eastAsia"/>
          <w:b/>
          <w:sz w:val="24"/>
        </w:rPr>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457CB8">
        <w:rPr>
          <w:rFonts w:ascii="仿宋_GB2312" w:eastAsia="仿宋_GB2312" w:hint="eastAsia"/>
          <w:b/>
          <w:sz w:val="24"/>
          <w:szCs w:val="24"/>
        </w:rPr>
        <w:t>同意天津农商银行在法律法规</w:t>
      </w:r>
      <w:proofErr w:type="gramStart"/>
      <w:r w:rsidRPr="00457CB8">
        <w:rPr>
          <w:rFonts w:ascii="仿宋_GB2312" w:eastAsia="仿宋_GB2312" w:hint="eastAsia"/>
          <w:b/>
          <w:sz w:val="24"/>
          <w:szCs w:val="24"/>
        </w:rPr>
        <w:t>等允许</w:t>
      </w:r>
      <w:proofErr w:type="gramEnd"/>
      <w:r w:rsidRPr="00457CB8">
        <w:rPr>
          <w:rFonts w:ascii="仿宋_GB2312" w:eastAsia="仿宋_GB2312" w:hint="eastAsia"/>
          <w:b/>
          <w:sz w:val="24"/>
          <w:szCs w:val="24"/>
        </w:rPr>
        <w:t>的前提下，根据监管要求或为自身业务或管理需要采集、使用及传输投资者信息。</w:t>
      </w:r>
    </w:p>
    <w:p w:rsidR="00F53D66" w:rsidRDefault="00F53D66" w:rsidP="00F53D66">
      <w:pPr>
        <w:spacing w:line="500" w:lineRule="exact"/>
        <w:ind w:firstLine="420"/>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F53D66" w:rsidRPr="001C698B" w:rsidRDefault="00F53D66" w:rsidP="00F53D66">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F53D66" w:rsidRPr="001C698B" w:rsidRDefault="00F53D66" w:rsidP="00F53D66">
      <w:pPr>
        <w:spacing w:line="500" w:lineRule="exact"/>
        <w:rPr>
          <w:rFonts w:ascii="仿宋_GB2312" w:eastAsia="仿宋_GB2312"/>
          <w:b/>
          <w:sz w:val="28"/>
          <w:szCs w:val="28"/>
          <w:u w:val="single"/>
        </w:rPr>
      </w:pPr>
    </w:p>
    <w:p w:rsidR="00F53D66" w:rsidRPr="001C698B" w:rsidRDefault="00F53D66" w:rsidP="00F53D66">
      <w:pPr>
        <w:spacing w:line="500" w:lineRule="exact"/>
        <w:rPr>
          <w:rFonts w:ascii="仿宋_GB2312" w:eastAsia="仿宋_GB2312"/>
          <w:b/>
          <w:sz w:val="28"/>
          <w:szCs w:val="28"/>
          <w:u w:val="single"/>
        </w:rPr>
      </w:pPr>
    </w:p>
    <w:p w:rsidR="00F53D66" w:rsidRPr="001C698B" w:rsidRDefault="00F53D66" w:rsidP="00F53D66">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F53D66" w:rsidRPr="001C698B" w:rsidRDefault="00F53D66" w:rsidP="00F53D66">
      <w:pPr>
        <w:spacing w:line="500" w:lineRule="exact"/>
        <w:ind w:firstLineChars="200" w:firstLine="562"/>
        <w:jc w:val="center"/>
        <w:rPr>
          <w:rFonts w:ascii="仿宋_GB2312" w:eastAsia="仿宋_GB2312"/>
          <w:b/>
          <w:sz w:val="28"/>
          <w:szCs w:val="28"/>
          <w:u w:val="single"/>
        </w:rPr>
      </w:pPr>
    </w:p>
    <w:p w:rsidR="00F53D66" w:rsidRPr="001C698B" w:rsidRDefault="00F53D66" w:rsidP="00F53D66">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F53D66" w:rsidRPr="001C698B" w:rsidRDefault="00F53D66" w:rsidP="00F53D66">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F53D66" w:rsidRPr="001C698B" w:rsidRDefault="00F53D66" w:rsidP="00F53D66">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F53D66" w:rsidRPr="001C698B" w:rsidRDefault="00F53D66" w:rsidP="00F53D66">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F53D66" w:rsidRPr="001C698B" w:rsidRDefault="00F53D66" w:rsidP="00F53D66">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F53D66" w:rsidRPr="001C698B" w:rsidRDefault="00F53D66" w:rsidP="00F53D66">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F53D66" w:rsidRPr="001C698B" w:rsidRDefault="00F53D66" w:rsidP="00F53D66">
      <w:pPr>
        <w:spacing w:line="500" w:lineRule="exact"/>
        <w:ind w:right="120" w:firstLineChars="200" w:firstLine="480"/>
        <w:jc w:val="right"/>
        <w:rPr>
          <w:rFonts w:ascii="仿宋_GB2312" w:eastAsia="仿宋_GB2312"/>
          <w:sz w:val="24"/>
        </w:rPr>
      </w:pPr>
    </w:p>
    <w:p w:rsidR="00F53D66" w:rsidRPr="001C698B" w:rsidRDefault="00F53D66" w:rsidP="00F53D66">
      <w:pPr>
        <w:spacing w:line="500" w:lineRule="exact"/>
        <w:ind w:right="1080"/>
        <w:rPr>
          <w:rFonts w:ascii="仿宋_GB2312" w:eastAsia="仿宋_GB2312"/>
          <w:sz w:val="24"/>
        </w:rPr>
      </w:pPr>
    </w:p>
    <w:p w:rsidR="00F53D66" w:rsidRPr="001C698B" w:rsidRDefault="00F53D66" w:rsidP="00F53D66">
      <w:pPr>
        <w:spacing w:line="500" w:lineRule="exact"/>
        <w:ind w:right="120" w:firstLineChars="200" w:firstLine="480"/>
        <w:jc w:val="right"/>
        <w:rPr>
          <w:rFonts w:ascii="仿宋_GB2312" w:eastAsia="仿宋_GB2312"/>
          <w:sz w:val="24"/>
        </w:rPr>
      </w:pPr>
    </w:p>
    <w:p w:rsidR="00F53D66" w:rsidRPr="001C698B" w:rsidRDefault="00F53D66" w:rsidP="00F53D66">
      <w:pPr>
        <w:spacing w:line="500" w:lineRule="exact"/>
        <w:ind w:right="120" w:firstLineChars="200" w:firstLine="480"/>
        <w:jc w:val="right"/>
        <w:rPr>
          <w:rFonts w:ascii="仿宋_GB2312" w:eastAsia="仿宋_GB2312"/>
          <w:sz w:val="24"/>
        </w:rPr>
      </w:pPr>
    </w:p>
    <w:p w:rsidR="00F53D66" w:rsidRPr="001C698B" w:rsidRDefault="00F53D66" w:rsidP="00F53D66">
      <w:pPr>
        <w:spacing w:line="500" w:lineRule="exact"/>
        <w:ind w:right="120" w:firstLineChars="200" w:firstLine="480"/>
        <w:jc w:val="right"/>
        <w:rPr>
          <w:rFonts w:ascii="仿宋_GB2312" w:eastAsia="仿宋_GB2312"/>
          <w:sz w:val="24"/>
        </w:rPr>
      </w:pPr>
    </w:p>
    <w:p w:rsidR="00F53D66" w:rsidRPr="001C698B" w:rsidRDefault="00F53D66" w:rsidP="00F53D66">
      <w:pPr>
        <w:spacing w:line="500" w:lineRule="exact"/>
        <w:ind w:right="120" w:firstLineChars="200" w:firstLine="480"/>
        <w:jc w:val="right"/>
        <w:rPr>
          <w:rFonts w:ascii="仿宋_GB2312" w:eastAsia="仿宋_GB2312"/>
          <w:sz w:val="24"/>
        </w:rPr>
      </w:pPr>
    </w:p>
    <w:p w:rsidR="00F53D66" w:rsidRPr="001C698B" w:rsidRDefault="00F53D66" w:rsidP="00F53D6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2019</w:t>
      </w:r>
      <w:r w:rsidRPr="001C698B">
        <w:rPr>
          <w:rFonts w:ascii="仿宋_GB2312" w:eastAsia="仿宋_GB2312" w:hint="eastAsia"/>
          <w:b/>
          <w:sz w:val="28"/>
          <w:szCs w:val="28"/>
        </w:rPr>
        <w:t>年度“宝益得”系列</w:t>
      </w:r>
    </w:p>
    <w:p w:rsidR="00F53D66" w:rsidRPr="001C698B" w:rsidRDefault="00F53D66" w:rsidP="00F53D66">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rFonts w:ascii="仿宋_GB2312" w:eastAsia="仿宋_GB2312" w:hint="eastAsia"/>
          <w:b/>
          <w:noProof/>
          <w:sz w:val="28"/>
          <w:szCs w:val="28"/>
        </w:rPr>
        <mc:AlternateContent>
          <mc:Choice Requires="wps">
            <w:drawing>
              <wp:anchor distT="0" distB="0" distL="114300" distR="114300" simplePos="0" relativeHeight="251660288" behindDoc="0" locked="0" layoutInCell="1" allowOverlap="1" wp14:anchorId="1C8CE8D8" wp14:editId="64CD5812">
                <wp:simplePos x="0" y="0"/>
                <wp:positionH relativeFrom="column">
                  <wp:posOffset>-297180</wp:posOffset>
                </wp:positionH>
                <wp:positionV relativeFrom="paragraph">
                  <wp:posOffset>603250</wp:posOffset>
                </wp:positionV>
                <wp:extent cx="6018530" cy="3562350"/>
                <wp:effectExtent l="7620" t="6350" r="12700" b="12700"/>
                <wp:wrapSquare wrapText="bothSides"/>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F53D66" w:rsidRPr="00420C15" w:rsidRDefault="00F53D66" w:rsidP="00F53D66">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F53D66" w:rsidRPr="00420C15" w:rsidRDefault="00F53D66" w:rsidP="00F53D66">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F53D66" w:rsidRPr="00420C15" w:rsidRDefault="00F53D66" w:rsidP="00F53D66">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53D66" w:rsidRPr="00420C15" w:rsidRDefault="00F53D66" w:rsidP="00F53D66">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F53D66" w:rsidRPr="00420C15" w:rsidRDefault="00F53D66" w:rsidP="00F53D66">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F53D66" w:rsidRPr="00420C15" w:rsidRDefault="00F53D66" w:rsidP="00F53D66">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2" o:spid="_x0000_s1027" style="position:absolute;left:0;text-align:left;margin-left:-23.4pt;margin-top:47.5pt;width:473.9pt;height:2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OHyNMI1AgAATAQAAA4AAAAAAAAAAAAA&#10;AAAALgIAAGRycy9lMm9Eb2MueG1sUEsBAi0AFAAGAAgAAAAhACb4dQXfAAAACgEAAA8AAAAAAAAA&#10;AAAAAAAAjwQAAGRycy9kb3ducmV2LnhtbFBLBQYAAAAABAAEAPMAAACbBQAAAAA=&#10;">
                <v:textbox>
                  <w:txbxContent>
                    <w:p w:rsidR="00F53D66" w:rsidRPr="00420C15" w:rsidRDefault="00F53D66" w:rsidP="00F53D66">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银行销售的理财产品与存款存在明显区别，具有一定的风险；</w:t>
                      </w:r>
                    </w:p>
                    <w:p w:rsidR="00F53D66" w:rsidRPr="00420C15" w:rsidRDefault="00F53D66" w:rsidP="00F53D66">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本理财产品有无投资经验投资者均可购买；</w:t>
                      </w:r>
                    </w:p>
                    <w:p w:rsidR="00F53D66" w:rsidRPr="00420C15" w:rsidRDefault="00F53D66" w:rsidP="00F53D66">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F53D66" w:rsidRPr="00420C15" w:rsidRDefault="00F53D66" w:rsidP="00F53D66">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天津农商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w:t>
                      </w:r>
                    </w:p>
                    <w:p w:rsidR="00F53D66" w:rsidRPr="00420C15" w:rsidRDefault="00F53D66" w:rsidP="00F53D66">
                      <w:pPr>
                        <w:numPr>
                          <w:ilvl w:val="0"/>
                          <w:numId w:val="2"/>
                        </w:numPr>
                        <w:spacing w:line="500" w:lineRule="exact"/>
                        <w:rPr>
                          <w:rFonts w:ascii="楷体_GB2312" w:eastAsia="楷体_GB2312" w:hAnsi="宋体" w:cs="宋体"/>
                          <w:b/>
                          <w:color w:val="000000"/>
                          <w:kern w:val="0"/>
                          <w:sz w:val="28"/>
                          <w:szCs w:val="28"/>
                          <w:u w:val="single"/>
                        </w:rPr>
                      </w:pPr>
                      <w:r w:rsidRPr="00420C15">
                        <w:rPr>
                          <w:rFonts w:ascii="楷体_GB2312" w:eastAsia="楷体_GB2312" w:hAnsi="宋体" w:cs="宋体" w:hint="eastAsia"/>
                          <w:b/>
                          <w:color w:val="000000"/>
                          <w:kern w:val="0"/>
                          <w:sz w:val="28"/>
                          <w:szCs w:val="28"/>
                          <w:u w:val="single"/>
                        </w:rPr>
                        <w:t>在购买理财产品后，投资者应随时关注该理财产品的信息披露情况，及时获取相关信息。</w:t>
                      </w:r>
                    </w:p>
                    <w:p w:rsidR="00F53D66" w:rsidRPr="00420C15" w:rsidRDefault="00F53D66" w:rsidP="00F53D66">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F53D66" w:rsidRPr="001C698B" w:rsidRDefault="00F53D66" w:rsidP="00F53D66">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F53D66" w:rsidRPr="001C698B" w:rsidTr="00515623">
        <w:trPr>
          <w:trHeight w:val="315"/>
        </w:trPr>
        <w:tc>
          <w:tcPr>
            <w:tcW w:w="2770" w:type="dxa"/>
            <w:vMerge w:val="restart"/>
            <w:tcMar>
              <w:top w:w="15" w:type="dxa"/>
              <w:left w:w="15" w:type="dxa"/>
              <w:bottom w:w="0" w:type="dxa"/>
              <w:right w:w="15" w:type="dxa"/>
            </w:tcMar>
            <w:vAlign w:val="center"/>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F53D66" w:rsidRPr="001C698B" w:rsidRDefault="00F53D66" w:rsidP="00515623">
            <w:pPr>
              <w:ind w:firstLineChars="200" w:firstLine="420"/>
              <w:rPr>
                <w:rFonts w:ascii="仿宋_GB2312" w:eastAsia="仿宋_GB2312"/>
                <w:szCs w:val="21"/>
              </w:rPr>
            </w:pPr>
            <w:r>
              <w:rPr>
                <w:rFonts w:ascii="仿宋_GB2312" w:eastAsia="仿宋_GB2312" w:hint="eastAsia"/>
                <w:szCs w:val="21"/>
              </w:rPr>
              <w:t>2019</w:t>
            </w:r>
            <w:r w:rsidRPr="001C698B">
              <w:rPr>
                <w:rFonts w:ascii="仿宋_GB2312" w:eastAsia="仿宋_GB2312" w:hint="eastAsia"/>
                <w:szCs w:val="21"/>
              </w:rPr>
              <w:t>年度</w:t>
            </w:r>
            <w:r>
              <w:rPr>
                <w:rFonts w:ascii="仿宋_GB2312" w:eastAsia="仿宋_GB2312" w:hint="eastAsia"/>
                <w:szCs w:val="21"/>
              </w:rPr>
              <w:t>宝益得第20期-滨海专属</w:t>
            </w:r>
            <w:r w:rsidRPr="001C698B">
              <w:rPr>
                <w:rFonts w:ascii="仿宋_GB2312" w:eastAsia="仿宋_GB2312" w:hint="eastAsia"/>
                <w:szCs w:val="21"/>
              </w:rPr>
              <w:t>人民币理财产品；</w:t>
            </w:r>
          </w:p>
        </w:tc>
      </w:tr>
      <w:tr w:rsidR="00F53D66" w:rsidRPr="001C698B" w:rsidTr="00515623">
        <w:trPr>
          <w:trHeight w:val="184"/>
        </w:trPr>
        <w:tc>
          <w:tcPr>
            <w:tcW w:w="2770" w:type="dxa"/>
            <w:vMerge/>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53D66" w:rsidRPr="001C698B" w:rsidRDefault="00F53D66" w:rsidP="00515623">
            <w:pPr>
              <w:ind w:firstLineChars="200" w:firstLine="420"/>
              <w:jc w:val="left"/>
              <w:rPr>
                <w:rFonts w:ascii="仿宋_GB2312" w:eastAsia="仿宋_GB2312"/>
                <w:szCs w:val="21"/>
              </w:rPr>
            </w:pPr>
            <w:r w:rsidRPr="001C698B">
              <w:rPr>
                <w:rFonts w:ascii="仿宋_GB2312" w:eastAsia="仿宋_GB2312" w:hint="eastAsia"/>
                <w:szCs w:val="21"/>
              </w:rPr>
              <w:t>代码：</w:t>
            </w:r>
            <w:r>
              <w:rPr>
                <w:rFonts w:ascii="仿宋_GB2312" w:eastAsia="仿宋_GB2312" w:hint="eastAsia"/>
                <w:szCs w:val="21"/>
              </w:rPr>
              <w:t>BYD1920-BHZS</w:t>
            </w:r>
          </w:p>
        </w:tc>
      </w:tr>
      <w:tr w:rsidR="00F53D66" w:rsidRPr="001C698B" w:rsidTr="00515623">
        <w:trPr>
          <w:trHeight w:val="134"/>
        </w:trPr>
        <w:tc>
          <w:tcPr>
            <w:tcW w:w="2770" w:type="dxa"/>
            <w:vMerge/>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F53D66" w:rsidRDefault="00F53D66" w:rsidP="00515623">
            <w:pPr>
              <w:ind w:firstLineChars="200" w:firstLine="420"/>
              <w:jc w:val="left"/>
              <w:rPr>
                <w:rFonts w:ascii="仿宋_GB2312" w:eastAsia="仿宋_GB2312"/>
                <w:szCs w:val="21"/>
              </w:rPr>
            </w:pPr>
            <w:r w:rsidRPr="001C698B">
              <w:rPr>
                <w:rFonts w:ascii="仿宋_GB2312" w:eastAsia="仿宋_GB2312" w:hint="eastAsia"/>
                <w:szCs w:val="21"/>
              </w:rPr>
              <w:t>全国银行业理财信息登记编码：</w:t>
            </w:r>
            <w:r>
              <w:rPr>
                <w:rFonts w:ascii="仿宋_GB2312" w:eastAsia="仿宋_GB2312" w:hint="eastAsia"/>
                <w:szCs w:val="21"/>
              </w:rPr>
              <w:t>C1104419000119</w:t>
            </w:r>
          </w:p>
          <w:p w:rsidR="00F53D66" w:rsidRPr="001C698B" w:rsidRDefault="00F53D66" w:rsidP="00515623">
            <w:pPr>
              <w:ind w:firstLineChars="200" w:firstLine="420"/>
              <w:jc w:val="left"/>
              <w:rPr>
                <w:rFonts w:ascii="仿宋_GB2312" w:eastAsia="仿宋_GB2312"/>
                <w:szCs w:val="21"/>
              </w:rPr>
            </w:pPr>
            <w:r w:rsidRPr="00D3099C">
              <w:rPr>
                <w:rFonts w:ascii="仿宋_GB2312" w:eastAsia="仿宋_GB2312" w:hint="eastAsia"/>
                <w:szCs w:val="21"/>
              </w:rPr>
              <w:t>客户可依据此编码在中国理财网（www.chinawealth.com.cn）查询该产品信息。</w:t>
            </w:r>
          </w:p>
        </w:tc>
      </w:tr>
      <w:tr w:rsidR="00F53D66" w:rsidRPr="001C698B" w:rsidTr="00515623">
        <w:trPr>
          <w:trHeight w:val="315"/>
        </w:trPr>
        <w:tc>
          <w:tcPr>
            <w:tcW w:w="2770" w:type="dxa"/>
            <w:tcMar>
              <w:top w:w="15" w:type="dxa"/>
              <w:left w:w="15" w:type="dxa"/>
              <w:bottom w:w="0" w:type="dxa"/>
              <w:right w:w="15" w:type="dxa"/>
            </w:tcMar>
            <w:vAlign w:val="center"/>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F53D66" w:rsidRPr="001C698B" w:rsidRDefault="00F53D66" w:rsidP="00515623">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F53D66" w:rsidRPr="001C698B" w:rsidRDefault="00F53D66" w:rsidP="00515623">
            <w:pPr>
              <w:ind w:firstLineChars="200" w:firstLine="420"/>
              <w:rPr>
                <w:rFonts w:ascii="仿宋_GB2312" w:eastAsia="仿宋_GB2312"/>
                <w:szCs w:val="21"/>
              </w:rPr>
            </w:pPr>
            <w:r w:rsidRPr="001C698B">
              <w:rPr>
                <w:rFonts w:ascii="仿宋_GB2312" w:eastAsia="仿宋_GB2312" w:hint="eastAsia"/>
                <w:szCs w:val="21"/>
              </w:rPr>
              <w:t>“宝益得”系列人民币理财产品适合投资者类型为稳健型、平衡型、成长型、进取型的个人投资者；</w:t>
            </w:r>
          </w:p>
        </w:tc>
      </w:tr>
      <w:tr w:rsidR="00F53D66" w:rsidRPr="001C698B" w:rsidTr="00515623">
        <w:trPr>
          <w:trHeight w:val="315"/>
        </w:trPr>
        <w:tc>
          <w:tcPr>
            <w:tcW w:w="277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F53D66" w:rsidRPr="001C698B" w:rsidRDefault="00F53D66" w:rsidP="00515623">
            <w:pPr>
              <w:ind w:firstLineChars="200" w:firstLine="420"/>
              <w:rPr>
                <w:rFonts w:ascii="仿宋_GB2312" w:eastAsia="仿宋_GB2312"/>
                <w:szCs w:val="21"/>
              </w:rPr>
            </w:pPr>
            <w:r>
              <w:rPr>
                <w:rFonts w:ascii="仿宋_GB2312" w:eastAsia="仿宋_GB2312" w:hint="eastAsia"/>
                <w:szCs w:val="21"/>
              </w:rPr>
              <w:t>254天</w:t>
            </w:r>
          </w:p>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F53D66" w:rsidRPr="001C698B" w:rsidTr="00515623">
        <w:trPr>
          <w:trHeight w:val="315"/>
        </w:trPr>
        <w:tc>
          <w:tcPr>
            <w:tcW w:w="277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F53D66" w:rsidRPr="001C698B" w:rsidTr="00515623">
        <w:trPr>
          <w:trHeight w:val="315"/>
        </w:trPr>
        <w:tc>
          <w:tcPr>
            <w:tcW w:w="277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“宝益得”系列理财产品为非保本浮动收益型理财产品；</w:t>
            </w:r>
          </w:p>
        </w:tc>
      </w:tr>
      <w:tr w:rsidR="00F53D66" w:rsidRPr="001C698B" w:rsidTr="00515623">
        <w:trPr>
          <w:cantSplit/>
          <w:trHeight w:val="324"/>
        </w:trPr>
        <w:tc>
          <w:tcPr>
            <w:tcW w:w="277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“宝益得”系列理财产品为较低风险产品；</w:t>
            </w:r>
          </w:p>
        </w:tc>
      </w:tr>
      <w:tr w:rsidR="00F53D66" w:rsidRPr="001C698B" w:rsidTr="00515623">
        <w:trPr>
          <w:cantSplit/>
          <w:trHeight w:val="324"/>
        </w:trPr>
        <w:tc>
          <w:tcPr>
            <w:tcW w:w="277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计划发行量</w:t>
            </w:r>
          </w:p>
        </w:tc>
        <w:tc>
          <w:tcPr>
            <w:tcW w:w="641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Pr>
                <w:rFonts w:ascii="仿宋_GB2312" w:eastAsia="仿宋_GB2312" w:hint="eastAsia"/>
                <w:szCs w:val="21"/>
              </w:rPr>
              <w:t>2亿元</w:t>
            </w:r>
          </w:p>
        </w:tc>
      </w:tr>
      <w:tr w:rsidR="00F53D66" w:rsidRPr="001C698B" w:rsidTr="00515623">
        <w:trPr>
          <w:cantSplit/>
          <w:trHeight w:val="324"/>
        </w:trPr>
        <w:tc>
          <w:tcPr>
            <w:tcW w:w="277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募集期</w:t>
            </w:r>
          </w:p>
        </w:tc>
        <w:tc>
          <w:tcPr>
            <w:tcW w:w="641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291848">
              <w:rPr>
                <w:rFonts w:ascii="仿宋_GB2312" w:eastAsia="仿宋_GB2312" w:hint="eastAsia"/>
                <w:szCs w:val="21"/>
              </w:rPr>
              <w:t>年</w:t>
            </w:r>
            <w:r>
              <w:rPr>
                <w:rFonts w:ascii="仿宋_GB2312" w:eastAsia="仿宋_GB2312" w:hint="eastAsia"/>
                <w:szCs w:val="21"/>
              </w:rPr>
              <w:t>4</w:t>
            </w:r>
            <w:r w:rsidRPr="00291848">
              <w:rPr>
                <w:rFonts w:ascii="仿宋_GB2312" w:eastAsia="仿宋_GB2312" w:hint="eastAsia"/>
                <w:szCs w:val="21"/>
              </w:rPr>
              <w:t>月</w:t>
            </w:r>
            <w:r>
              <w:rPr>
                <w:rFonts w:ascii="仿宋_GB2312" w:eastAsia="仿宋_GB2312" w:hint="eastAsia"/>
                <w:szCs w:val="21"/>
              </w:rPr>
              <w:t>16</w:t>
            </w:r>
            <w:r w:rsidRPr="00291848">
              <w:rPr>
                <w:rFonts w:ascii="仿宋_GB2312" w:eastAsia="仿宋_GB2312" w:hint="eastAsia"/>
                <w:szCs w:val="21"/>
              </w:rPr>
              <w:t>日</w:t>
            </w:r>
            <w:r>
              <w:rPr>
                <w:rFonts w:ascii="仿宋_GB2312" w:eastAsia="仿宋_GB2312" w:hint="eastAsia"/>
                <w:szCs w:val="21"/>
              </w:rPr>
              <w:t>-2019</w:t>
            </w:r>
            <w:r w:rsidRPr="00291848">
              <w:rPr>
                <w:rFonts w:ascii="仿宋_GB2312" w:eastAsia="仿宋_GB2312" w:hint="eastAsia"/>
                <w:szCs w:val="21"/>
              </w:rPr>
              <w:t>年</w:t>
            </w:r>
            <w:r>
              <w:rPr>
                <w:rFonts w:ascii="仿宋_GB2312" w:eastAsia="仿宋_GB2312" w:hint="eastAsia"/>
                <w:szCs w:val="21"/>
              </w:rPr>
              <w:t>4</w:t>
            </w:r>
            <w:r w:rsidRPr="00291848">
              <w:rPr>
                <w:rFonts w:ascii="仿宋_GB2312" w:eastAsia="仿宋_GB2312" w:hint="eastAsia"/>
                <w:szCs w:val="21"/>
              </w:rPr>
              <w:t>月</w:t>
            </w:r>
            <w:r>
              <w:rPr>
                <w:rFonts w:ascii="仿宋_GB2312" w:eastAsia="仿宋_GB2312" w:hint="eastAsia"/>
                <w:szCs w:val="21"/>
              </w:rPr>
              <w:t>22</w:t>
            </w:r>
            <w:r w:rsidRPr="00291848">
              <w:rPr>
                <w:rFonts w:ascii="仿宋_GB2312" w:eastAsia="仿宋_GB2312" w:hint="eastAsia"/>
                <w:szCs w:val="21"/>
              </w:rPr>
              <w:t>日</w:t>
            </w:r>
          </w:p>
        </w:tc>
      </w:tr>
      <w:tr w:rsidR="00F53D66" w:rsidRPr="001C698B" w:rsidTr="00515623">
        <w:trPr>
          <w:cantSplit/>
          <w:trHeight w:val="324"/>
        </w:trPr>
        <w:tc>
          <w:tcPr>
            <w:tcW w:w="2770" w:type="dxa"/>
            <w:tcMar>
              <w:top w:w="15" w:type="dxa"/>
              <w:left w:w="15" w:type="dxa"/>
              <w:bottom w:w="0" w:type="dxa"/>
              <w:right w:w="15" w:type="dxa"/>
            </w:tcMar>
            <w:vAlign w:val="center"/>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F53D66" w:rsidRPr="001C698B" w:rsidRDefault="00F53D66" w:rsidP="00515623">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F53D66" w:rsidRPr="001C698B" w:rsidRDefault="00F53D66" w:rsidP="0051562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F53D66" w:rsidRPr="001C698B" w:rsidRDefault="00F53D66" w:rsidP="00515623">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F53D66" w:rsidRPr="001C698B" w:rsidTr="00515623">
        <w:trPr>
          <w:trHeight w:val="315"/>
        </w:trPr>
        <w:tc>
          <w:tcPr>
            <w:tcW w:w="277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F53D66" w:rsidRPr="001C698B" w:rsidRDefault="00F53D66" w:rsidP="00515623">
            <w:pPr>
              <w:spacing w:line="500" w:lineRule="exact"/>
              <w:ind w:right="120" w:firstLineChars="200" w:firstLine="420"/>
              <w:rPr>
                <w:rFonts w:ascii="仿宋_GB2312" w:eastAsia="仿宋_GB2312"/>
                <w:szCs w:val="21"/>
              </w:rPr>
            </w:pPr>
            <w:r>
              <w:rPr>
                <w:rFonts w:ascii="仿宋_GB2312" w:eastAsia="仿宋_GB2312" w:hint="eastAsia"/>
                <w:szCs w:val="21"/>
              </w:rPr>
              <w:t>2019</w:t>
            </w:r>
            <w:r w:rsidRPr="00291848">
              <w:rPr>
                <w:rFonts w:ascii="仿宋_GB2312" w:eastAsia="仿宋_GB2312" w:hint="eastAsia"/>
                <w:szCs w:val="21"/>
              </w:rPr>
              <w:t>年</w:t>
            </w:r>
            <w:r>
              <w:rPr>
                <w:rFonts w:ascii="仿宋_GB2312" w:eastAsia="仿宋_GB2312" w:hint="eastAsia"/>
                <w:szCs w:val="21"/>
              </w:rPr>
              <w:t>04</w:t>
            </w:r>
            <w:r w:rsidRPr="00291848">
              <w:rPr>
                <w:rFonts w:ascii="仿宋_GB2312" w:eastAsia="仿宋_GB2312" w:hint="eastAsia"/>
                <w:szCs w:val="21"/>
              </w:rPr>
              <w:t>月</w:t>
            </w:r>
            <w:r>
              <w:rPr>
                <w:rFonts w:ascii="仿宋_GB2312" w:eastAsia="仿宋_GB2312" w:hint="eastAsia"/>
                <w:szCs w:val="21"/>
              </w:rPr>
              <w:t>23</w:t>
            </w:r>
            <w:r w:rsidRPr="00291848">
              <w:rPr>
                <w:rFonts w:ascii="仿宋_GB2312" w:eastAsia="仿宋_GB2312" w:hint="eastAsia"/>
                <w:szCs w:val="21"/>
              </w:rPr>
              <w:t>日</w:t>
            </w:r>
          </w:p>
        </w:tc>
      </w:tr>
      <w:tr w:rsidR="00F53D66" w:rsidRPr="001C698B" w:rsidTr="00515623">
        <w:trPr>
          <w:trHeight w:val="315"/>
        </w:trPr>
        <w:tc>
          <w:tcPr>
            <w:tcW w:w="277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F53D66" w:rsidRPr="001C698B" w:rsidRDefault="00F53D66" w:rsidP="00515623">
            <w:pPr>
              <w:spacing w:line="500" w:lineRule="exact"/>
              <w:ind w:right="120" w:firstLineChars="200" w:firstLine="420"/>
              <w:rPr>
                <w:rFonts w:ascii="仿宋_GB2312" w:eastAsia="仿宋_GB2312"/>
                <w:szCs w:val="21"/>
              </w:rPr>
            </w:pPr>
            <w:r>
              <w:rPr>
                <w:rFonts w:ascii="仿宋_GB2312" w:eastAsia="仿宋_GB2312" w:hint="eastAsia"/>
                <w:szCs w:val="21"/>
              </w:rPr>
              <w:t>2020</w:t>
            </w:r>
            <w:r w:rsidRPr="00291848">
              <w:rPr>
                <w:rFonts w:ascii="仿宋_GB2312" w:eastAsia="仿宋_GB2312" w:hint="eastAsia"/>
                <w:szCs w:val="21"/>
              </w:rPr>
              <w:t>年</w:t>
            </w:r>
            <w:r>
              <w:rPr>
                <w:rFonts w:ascii="仿宋_GB2312" w:eastAsia="仿宋_GB2312" w:hint="eastAsia"/>
                <w:szCs w:val="21"/>
              </w:rPr>
              <w:t>01</w:t>
            </w:r>
            <w:r w:rsidRPr="00291848">
              <w:rPr>
                <w:rFonts w:ascii="仿宋_GB2312" w:eastAsia="仿宋_GB2312" w:hint="eastAsia"/>
                <w:szCs w:val="21"/>
              </w:rPr>
              <w:t>月</w:t>
            </w:r>
            <w:r>
              <w:rPr>
                <w:rFonts w:ascii="仿宋_GB2312" w:eastAsia="仿宋_GB2312" w:hint="eastAsia"/>
                <w:szCs w:val="21"/>
              </w:rPr>
              <w:t>02</w:t>
            </w:r>
            <w:r w:rsidRPr="00291848">
              <w:rPr>
                <w:rFonts w:ascii="仿宋_GB2312" w:eastAsia="仿宋_GB2312" w:hint="eastAsia"/>
                <w:szCs w:val="21"/>
              </w:rPr>
              <w:t>日</w:t>
            </w:r>
          </w:p>
        </w:tc>
      </w:tr>
      <w:tr w:rsidR="00F53D66" w:rsidRPr="001C698B" w:rsidTr="00515623">
        <w:trPr>
          <w:trHeight w:val="315"/>
        </w:trPr>
        <w:tc>
          <w:tcPr>
            <w:tcW w:w="277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F53D66" w:rsidRPr="001C698B" w:rsidTr="00515623">
        <w:trPr>
          <w:trHeight w:val="315"/>
        </w:trPr>
        <w:tc>
          <w:tcPr>
            <w:tcW w:w="277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Pr>
                <w:rFonts w:ascii="仿宋_GB2312" w:eastAsia="仿宋_GB2312" w:hint="eastAsia"/>
                <w:szCs w:val="21"/>
              </w:rPr>
              <w:t>招商银行股份有限公司</w:t>
            </w:r>
          </w:p>
        </w:tc>
      </w:tr>
      <w:tr w:rsidR="00F53D66" w:rsidRPr="001C698B" w:rsidTr="00515623">
        <w:trPr>
          <w:cantSplit/>
          <w:trHeight w:val="233"/>
        </w:trPr>
        <w:tc>
          <w:tcPr>
            <w:tcW w:w="277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F53D66" w:rsidRPr="001C698B" w:rsidRDefault="00F53D66" w:rsidP="00515623">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F53D66" w:rsidRPr="001C698B" w:rsidRDefault="00F53D66" w:rsidP="00515623">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sidRPr="00C06D32">
              <w:rPr>
                <w:rFonts w:ascii="仿宋_GB2312" w:eastAsia="仿宋_GB2312" w:hint="eastAsia"/>
                <w:szCs w:val="21"/>
                <w:u w:val="single"/>
              </w:rPr>
              <w:t xml:space="preserve"> </w:t>
            </w:r>
            <w:r>
              <w:rPr>
                <w:rFonts w:ascii="仿宋_GB2312" w:eastAsia="仿宋_GB2312" w:hint="eastAsia"/>
                <w:szCs w:val="21"/>
                <w:u w:val="single"/>
              </w:rPr>
              <w:t>5.10</w:t>
            </w:r>
            <w:r w:rsidRPr="00291848">
              <w:rPr>
                <w:rFonts w:ascii="仿宋_GB2312" w:eastAsia="仿宋_GB2312" w:hint="eastAsia"/>
                <w:szCs w:val="21"/>
                <w:u w:val="single"/>
              </w:rPr>
              <w:t>%</w:t>
            </w:r>
            <w:r w:rsidRPr="001C698B">
              <w:rPr>
                <w:rFonts w:ascii="仿宋_GB2312" w:eastAsia="仿宋_GB2312" w:hint="eastAsia"/>
                <w:szCs w:val="21"/>
              </w:rPr>
              <w:t>；</w:t>
            </w:r>
          </w:p>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F53D66" w:rsidRPr="001C698B" w:rsidTr="00515623">
        <w:trPr>
          <w:trHeight w:val="315"/>
        </w:trPr>
        <w:tc>
          <w:tcPr>
            <w:tcW w:w="2770" w:type="dxa"/>
            <w:tcMar>
              <w:top w:w="15" w:type="dxa"/>
              <w:left w:w="15" w:type="dxa"/>
              <w:bottom w:w="0" w:type="dxa"/>
              <w:right w:w="15" w:type="dxa"/>
            </w:tcMar>
            <w:vAlign w:val="center"/>
          </w:tcPr>
          <w:p w:rsidR="00F53D66" w:rsidRPr="001C698B" w:rsidRDefault="00F53D66" w:rsidP="00515623">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Pr>
                <w:rFonts w:hint="eastAsia"/>
              </w:rPr>
              <w:t>0.1</w:t>
            </w:r>
            <w:r>
              <w:rPr>
                <w:rFonts w:hint="eastAsia"/>
              </w:rPr>
              <w:t>‰</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F53D66" w:rsidRPr="001C698B" w:rsidTr="00515623">
        <w:trPr>
          <w:trHeight w:val="315"/>
        </w:trPr>
        <w:tc>
          <w:tcPr>
            <w:tcW w:w="277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u w:val="single"/>
              </w:rPr>
              <w:t>1万元</w:t>
            </w:r>
            <w:r w:rsidRPr="001C698B">
              <w:rPr>
                <w:rFonts w:ascii="仿宋_GB2312" w:eastAsia="仿宋_GB2312" w:hint="eastAsia"/>
                <w:szCs w:val="21"/>
              </w:rPr>
              <w:t>，以0.1万元（1000元）整数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F53D66" w:rsidRPr="001C698B" w:rsidTr="00515623">
        <w:trPr>
          <w:trHeight w:val="315"/>
        </w:trPr>
        <w:tc>
          <w:tcPr>
            <w:tcW w:w="2770" w:type="dxa"/>
            <w:tcMar>
              <w:top w:w="15" w:type="dxa"/>
              <w:left w:w="15" w:type="dxa"/>
              <w:bottom w:w="0" w:type="dxa"/>
              <w:right w:w="15" w:type="dxa"/>
            </w:tcMar>
            <w:vAlign w:val="center"/>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F53D66" w:rsidRPr="001C698B" w:rsidTr="00515623">
        <w:trPr>
          <w:trHeight w:val="586"/>
        </w:trPr>
        <w:tc>
          <w:tcPr>
            <w:tcW w:w="2770" w:type="dxa"/>
            <w:tcMar>
              <w:top w:w="15" w:type="dxa"/>
              <w:left w:w="15" w:type="dxa"/>
              <w:bottom w:w="0" w:type="dxa"/>
              <w:right w:w="15" w:type="dxa"/>
            </w:tcMar>
            <w:vAlign w:val="center"/>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F53D66" w:rsidRPr="001C698B" w:rsidTr="00515623">
        <w:trPr>
          <w:trHeight w:val="315"/>
        </w:trPr>
        <w:tc>
          <w:tcPr>
            <w:tcW w:w="2770" w:type="dxa"/>
            <w:tcMar>
              <w:top w:w="15" w:type="dxa"/>
              <w:left w:w="15" w:type="dxa"/>
              <w:bottom w:w="0" w:type="dxa"/>
              <w:right w:w="15" w:type="dxa"/>
            </w:tcMar>
            <w:vAlign w:val="center"/>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F53D66" w:rsidRPr="001C698B" w:rsidTr="00515623">
        <w:trPr>
          <w:trHeight w:val="315"/>
        </w:trPr>
        <w:tc>
          <w:tcPr>
            <w:tcW w:w="2770" w:type="dxa"/>
            <w:tcMar>
              <w:top w:w="15" w:type="dxa"/>
              <w:left w:w="15" w:type="dxa"/>
              <w:bottom w:w="0" w:type="dxa"/>
              <w:right w:w="15" w:type="dxa"/>
            </w:tcMar>
            <w:vAlign w:val="center"/>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F53D66" w:rsidRPr="001C698B" w:rsidTr="00515623">
        <w:trPr>
          <w:trHeight w:val="315"/>
        </w:trPr>
        <w:tc>
          <w:tcPr>
            <w:tcW w:w="2770" w:type="dxa"/>
            <w:tcMar>
              <w:top w:w="15" w:type="dxa"/>
              <w:left w:w="15" w:type="dxa"/>
              <w:bottom w:w="0" w:type="dxa"/>
              <w:right w:w="15" w:type="dxa"/>
            </w:tcMar>
            <w:vAlign w:val="center"/>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申购与赎回</w:t>
            </w:r>
          </w:p>
        </w:tc>
        <w:tc>
          <w:tcPr>
            <w:tcW w:w="641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F53D66" w:rsidRPr="001C698B" w:rsidTr="00515623">
        <w:trPr>
          <w:trHeight w:val="315"/>
        </w:trPr>
        <w:tc>
          <w:tcPr>
            <w:tcW w:w="2770" w:type="dxa"/>
            <w:tcMar>
              <w:top w:w="15" w:type="dxa"/>
              <w:left w:w="15" w:type="dxa"/>
              <w:bottom w:w="0" w:type="dxa"/>
              <w:right w:w="15" w:type="dxa"/>
            </w:tcMar>
            <w:vAlign w:val="center"/>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质押</w:t>
            </w:r>
          </w:p>
        </w:tc>
        <w:tc>
          <w:tcPr>
            <w:tcW w:w="641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F53D66" w:rsidRPr="001C698B" w:rsidTr="00515623">
        <w:trPr>
          <w:trHeight w:val="224"/>
        </w:trPr>
        <w:tc>
          <w:tcPr>
            <w:tcW w:w="2770" w:type="dxa"/>
            <w:tcMar>
              <w:top w:w="15" w:type="dxa"/>
              <w:left w:w="15" w:type="dxa"/>
              <w:bottom w:w="0" w:type="dxa"/>
              <w:right w:w="15" w:type="dxa"/>
            </w:tcMar>
            <w:vAlign w:val="center"/>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F53D66" w:rsidRPr="001C698B" w:rsidTr="00515623">
        <w:trPr>
          <w:trHeight w:val="849"/>
        </w:trPr>
        <w:tc>
          <w:tcPr>
            <w:tcW w:w="2770" w:type="dxa"/>
            <w:tcMar>
              <w:top w:w="15" w:type="dxa"/>
              <w:left w:w="15" w:type="dxa"/>
              <w:bottom w:w="0" w:type="dxa"/>
              <w:right w:w="15" w:type="dxa"/>
            </w:tcMar>
            <w:vAlign w:val="center"/>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F53D66" w:rsidRPr="001C698B" w:rsidRDefault="00F53D66" w:rsidP="00515623">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F53D66" w:rsidRPr="001C698B" w:rsidRDefault="00F53D66" w:rsidP="00F53D66">
      <w:pPr>
        <w:spacing w:line="580" w:lineRule="exact"/>
        <w:ind w:firstLineChars="100" w:firstLine="240"/>
        <w:rPr>
          <w:rFonts w:ascii="仿宋_GB2312" w:eastAsia="仿宋_GB2312"/>
          <w:bCs/>
          <w:iCs/>
          <w:sz w:val="24"/>
        </w:rPr>
      </w:pPr>
      <w:r>
        <w:rPr>
          <w:rFonts w:ascii="仿宋_GB2312" w:eastAsia="仿宋_GB2312" w:hint="eastAsia"/>
          <w:bCs/>
          <w:iCs/>
          <w:sz w:val="24"/>
        </w:rPr>
        <w:t xml:space="preserve"> “宝益得”系列理财产品主要投资于交易所/银行间上市交易的国债、金融债、公司债、可转债、企业债券、短期融资</w:t>
      </w:r>
      <w:proofErr w:type="gramStart"/>
      <w:r>
        <w:rPr>
          <w:rFonts w:ascii="仿宋_GB2312" w:eastAsia="仿宋_GB2312" w:hint="eastAsia"/>
          <w:bCs/>
          <w:iCs/>
          <w:sz w:val="24"/>
        </w:rPr>
        <w:t>券</w:t>
      </w:r>
      <w:proofErr w:type="gramEnd"/>
      <w:r>
        <w:rPr>
          <w:rFonts w:ascii="仿宋_GB2312" w:eastAsia="仿宋_GB2312" w:hint="eastAsia"/>
          <w:bCs/>
          <w:iCs/>
          <w:sz w:val="24"/>
        </w:rPr>
        <w:t>、中期票据、私募债、中小企业集合票据、资产支持债券、商业银行次级债、银行间市场回购、同业存款、同业借款、票据类资产、定向资产管理计划类产品等，投资比例为5-100%。</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F53D66" w:rsidRPr="001C698B" w:rsidRDefault="00F53D66" w:rsidP="00F53D66">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F53D66" w:rsidRPr="001C698B" w:rsidRDefault="00F53D66" w:rsidP="00F53D6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F53D66" w:rsidRPr="001C698B" w:rsidRDefault="00F53D66" w:rsidP="00F53D6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291848">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F53D66" w:rsidRPr="001C698B" w:rsidRDefault="00F53D66" w:rsidP="00F53D66">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F53D66" w:rsidRPr="001C698B" w:rsidRDefault="00F53D66" w:rsidP="00F53D66">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5.10</w:t>
      </w:r>
      <w:r w:rsidRPr="00291848">
        <w:rPr>
          <w:rFonts w:ascii="仿宋_GB2312" w:eastAsia="仿宋_GB2312" w:hint="eastAsia"/>
          <w:sz w:val="24"/>
        </w:rPr>
        <w:t>%</w:t>
      </w:r>
      <w:r w:rsidRPr="001C698B">
        <w:rPr>
          <w:rFonts w:ascii="仿宋_GB2312" w:eastAsia="仿宋_GB2312" w:hint="eastAsia"/>
          <w:sz w:val="24"/>
        </w:rPr>
        <w:t xml:space="preserve">。 </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3、理财收益计算公式 </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lastRenderedPageBreak/>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预期年化收益率</w:t>
      </w:r>
      <w:proofErr w:type="gramEnd"/>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F53D66"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254天</w:t>
      </w:r>
      <w:r w:rsidRPr="001C698B">
        <w:rPr>
          <w:rFonts w:ascii="仿宋_GB2312" w:eastAsia="仿宋_GB2312" w:hint="eastAsia"/>
          <w:bCs/>
          <w:iCs/>
          <w:sz w:val="24"/>
        </w:rPr>
        <w:t>理财产品金额为</w:t>
      </w:r>
      <w:r>
        <w:rPr>
          <w:rFonts w:ascii="仿宋_GB2312" w:eastAsia="仿宋_GB2312" w:hint="eastAsia"/>
          <w:bCs/>
          <w:iCs/>
          <w:sz w:val="24"/>
        </w:rPr>
        <w:t>5万元</w:t>
      </w:r>
      <w:r w:rsidRPr="001C698B">
        <w:rPr>
          <w:rFonts w:ascii="仿宋_GB2312" w:eastAsia="仿宋_GB2312" w:hint="eastAsia"/>
          <w:bCs/>
          <w:iCs/>
          <w:sz w:val="24"/>
        </w:rPr>
        <w:t>为例，本理财产品正常到期，扣除管理费、托管费等相关费用后，假设产品分配收益率为</w:t>
      </w:r>
      <w:r>
        <w:rPr>
          <w:rFonts w:ascii="仿宋_GB2312" w:eastAsia="仿宋_GB2312" w:hint="eastAsia"/>
          <w:bCs/>
          <w:iCs/>
          <w:sz w:val="24"/>
        </w:rPr>
        <w:t>5.10</w:t>
      </w:r>
      <w:r w:rsidRPr="00291848">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1" w:name="_MON_1524481728"/>
    <w:bookmarkStart w:id="2" w:name="_MON_1525613708"/>
    <w:bookmarkStart w:id="3" w:name="_MON_1525613717"/>
    <w:bookmarkStart w:id="4" w:name="_MON_1526900354"/>
    <w:bookmarkStart w:id="5" w:name="_MON_1529331316"/>
    <w:bookmarkStart w:id="6" w:name="_MON_1532954819"/>
    <w:bookmarkStart w:id="7" w:name="_MON_1534165406"/>
    <w:bookmarkStart w:id="8" w:name="_MON_1539677737"/>
    <w:bookmarkStart w:id="9" w:name="_MON_1543304425"/>
    <w:bookmarkStart w:id="10" w:name="_MON_1549973716"/>
    <w:bookmarkStart w:id="11" w:name="_MON_1554125901"/>
    <w:bookmarkStart w:id="12" w:name="_MON_1555412477"/>
    <w:bookmarkStart w:id="13" w:name="_MON_1556022060"/>
    <w:bookmarkStart w:id="14" w:name="_MON_1556642010"/>
    <w:bookmarkStart w:id="15" w:name="_MON_1557218450"/>
    <w:bookmarkStart w:id="16" w:name="_MON_1557849309"/>
    <w:bookmarkStart w:id="17" w:name="_MON_1558444350"/>
    <w:bookmarkStart w:id="18" w:name="_MON_1559654209"/>
    <w:bookmarkStart w:id="19" w:name="_MON_1560866196"/>
    <w:bookmarkStart w:id="20" w:name="_MON_1561471030"/>
    <w:bookmarkStart w:id="21" w:name="_MON_1562679037"/>
    <w:bookmarkStart w:id="22" w:name="_MON_1563288655"/>
    <w:bookmarkStart w:id="23" w:name="_MON_1563889489"/>
    <w:bookmarkStart w:id="24" w:name="_MON_1565183039"/>
    <w:bookmarkStart w:id="25" w:name="_MON_1565183106"/>
    <w:bookmarkStart w:id="26" w:name="_MON_1565183130"/>
    <w:bookmarkStart w:id="27" w:name="_MON_1569408804"/>
    <w:bookmarkStart w:id="28" w:name="_MON_1570026152"/>
    <w:bookmarkStart w:id="29" w:name="_MON_1570026162"/>
    <w:bookmarkStart w:id="30" w:name="_MON_1571149554"/>
    <w:bookmarkStart w:id="31" w:name="_MON_1577512405"/>
    <w:bookmarkStart w:id="32" w:name="_MON_1594566788"/>
    <w:bookmarkStart w:id="33" w:name="_MON_1518433184"/>
    <w:bookmarkStart w:id="34" w:name="_MON_1615039942"/>
    <w:bookmarkStart w:id="35" w:name="_MON_1615041619"/>
    <w:bookmarkStart w:id="36" w:name="_MON_1522049461"/>
    <w:bookmarkStart w:id="37" w:name="_MON_152325736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rsidR="00F53D66" w:rsidRPr="001C698B" w:rsidRDefault="00F53D66" w:rsidP="00F53D66">
      <w:pPr>
        <w:spacing w:line="500" w:lineRule="exact"/>
        <w:ind w:right="120" w:firstLineChars="200" w:firstLine="480"/>
        <w:rPr>
          <w:rFonts w:ascii="仿宋_GB2312" w:eastAsia="仿宋_GB2312"/>
          <w:bCs/>
          <w:iCs/>
          <w:sz w:val="24"/>
        </w:rPr>
      </w:pPr>
      <w:r>
        <w:rPr>
          <w:rFonts w:ascii="仿宋_GB2312" w:eastAsia="仿宋_GB2312"/>
          <w:bCs/>
          <w:iCs/>
          <w:sz w:val="24"/>
        </w:rPr>
        <w:object w:dxaOrig="5959" w:dyaOrig="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75pt;height:15pt" o:ole="">
            <v:imagedata r:id="rId8" o:title=""/>
          </v:shape>
          <o:OLEObject Type="Embed" ProgID="Excel.Sheet.8" ShapeID="_x0000_i1025" DrawAspect="Content" ObjectID="_1616850603" r:id="rId9"/>
        </w:object>
      </w:r>
    </w:p>
    <w:p w:rsidR="00F53D66" w:rsidRPr="000834CB" w:rsidRDefault="00F53D66" w:rsidP="00F53D66">
      <w:pPr>
        <w:spacing w:line="500" w:lineRule="exact"/>
        <w:ind w:right="120" w:firstLineChars="200" w:firstLine="480"/>
        <w:rPr>
          <w:rFonts w:ascii="仿宋_GB2312" w:eastAsia="仿宋_GB2312"/>
          <w:bCs/>
          <w:iCs/>
          <w:sz w:val="24"/>
        </w:rPr>
      </w:pPr>
      <w:r w:rsidRPr="000834CB">
        <w:rPr>
          <w:rFonts w:ascii="仿宋_GB2312" w:eastAsia="仿宋_GB2312" w:hint="eastAsia"/>
          <w:bCs/>
          <w:iCs/>
          <w:sz w:val="24"/>
        </w:rPr>
        <w:t xml:space="preserve">本理财产品的理财收益测算和收益兑付均采用四舍五入至分计算。 </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F53D66" w:rsidRPr="001C698B" w:rsidRDefault="00F53D66" w:rsidP="00F53D66">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lastRenderedPageBreak/>
        <w:t>五、风险揭示</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本理财产品为非保本浮动收益型，投资者可能主要面临以下风险：</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理财收益风险：“宝益得”系列理财产品不保证收益，产品收益来源于理财产品项下投资组合回报，易受到投资主体信用状况变化、市场利率波动、投资组合运作情况以及投资管理方投资能力等因素的影响，在最不利的情况下，投资者理财本金可能会有部分或全部损失，理财产品收益率可能为零，则由此产生的理财本金及收益不确定的风险由客户自行承担。</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 2、市场风险：“宝益得”系列理财产品收益随市场利率波动而调整，客户的收益可能因市场利率变化而相对降低。</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3、流动性风险：“宝益得”系列理财产品在存续期</w:t>
      </w:r>
      <w:proofErr w:type="gramStart"/>
      <w:r w:rsidRPr="001C698B">
        <w:rPr>
          <w:rFonts w:ascii="仿宋_GB2312" w:eastAsia="仿宋_GB2312" w:hint="eastAsia"/>
          <w:bCs/>
          <w:sz w:val="24"/>
        </w:rPr>
        <w:t>内客户</w:t>
      </w:r>
      <w:proofErr w:type="gramEnd"/>
      <w:r w:rsidRPr="001C698B">
        <w:rPr>
          <w:rFonts w:ascii="仿宋_GB2312" w:eastAsia="仿宋_GB2312" w:hint="eastAsia"/>
          <w:bCs/>
          <w:sz w:val="24"/>
        </w:rPr>
        <w:t xml:space="preserve">不能提前终止，因此，在此存续期内如果客户有流动性需求，可能面临理财产品持有期与资金需求日不匹配的流动性风险。 </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4、政策风险：“宝益得”系列理财产品是针对当前的相关法规和政策设计的。如国家宏观政策以及市场相关法规政策发生变化，可能影响理财产品的受理、投资、偿还等的正常进行，甚至导致本系列理财产品收益降低。 </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5、信息传递风险：“宝益得”系列理财产品存续期内不提供账单，投资者应根据本理财产品说明书所载明的公告方式及时查询本理财产品的相关信息。我</w:t>
      </w:r>
      <w:proofErr w:type="gramStart"/>
      <w:r w:rsidRPr="001C698B">
        <w:rPr>
          <w:rFonts w:ascii="仿宋_GB2312" w:eastAsia="仿宋_GB2312" w:hint="eastAsia"/>
          <w:bCs/>
          <w:sz w:val="24"/>
        </w:rPr>
        <w:t>行按照</w:t>
      </w:r>
      <w:proofErr w:type="gramEnd"/>
      <w:r w:rsidRPr="001C698B">
        <w:rPr>
          <w:rFonts w:ascii="仿宋_GB2312" w:eastAsia="仿宋_GB2312" w:hint="eastAsia"/>
          <w:b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6、理财产品不成立风险：如果市场发生剧烈波动，经我</w:t>
      </w:r>
      <w:proofErr w:type="gramStart"/>
      <w:r w:rsidRPr="001C698B">
        <w:rPr>
          <w:rFonts w:ascii="仿宋_GB2312" w:eastAsia="仿宋_GB2312" w:hint="eastAsia"/>
          <w:bCs/>
          <w:sz w:val="24"/>
        </w:rPr>
        <w:t>行合理</w:t>
      </w:r>
      <w:proofErr w:type="gramEnd"/>
      <w:r w:rsidRPr="001C698B">
        <w:rPr>
          <w:rFonts w:ascii="仿宋_GB2312" w:eastAsia="仿宋_GB2312" w:hint="eastAsia"/>
          <w:bCs/>
          <w:sz w:val="24"/>
        </w:rPr>
        <w:t>判断难以按</w:t>
      </w:r>
      <w:r w:rsidRPr="001C698B">
        <w:rPr>
          <w:rFonts w:ascii="仿宋_GB2312" w:eastAsia="仿宋_GB2312" w:hint="eastAsia"/>
          <w:bCs/>
          <w:sz w:val="24"/>
        </w:rPr>
        <w:lastRenderedPageBreak/>
        <w:t>照本系列产品说明书规定向客户提供“宝益得”系列理财产品，我行有权宣布该产品不成立。</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7、提前终止风险：如遇国家金融政策重大调整，金融市场价格发生重大波动，经我行判断，将影响到“宝益得”系列理财产品的收益时，我行有权提前终止本理财产品。如我行提前终止本期理财产品，则该理财产品的实际理财期可能小于预定期限。如果理财产品提前终止，则投资者将无法实现期初预期的全部收益。</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8、延期兑付风险：如因“宝益得”系列理财产品投资资产组合项下对应的投资标的变现不及时等原因造成本系列理财产品不能按时支付理财资金，从而可能导致理财产品到期客户本金和收益不能按照约定到账日期到账，产生延期支付。延期内不计算理财收益及活期利息。</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9、不可抗力风险：自然灾害、战争等不可抗力因素的出现，将严重影响金融市场的正常运行，可能影响“宝益得”系列理财产品的受理、投资、偿还等的正常进行，甚至导致理财产品收益降低甚至收益为零。对于由不可抗力风险所导致的任何损失，由投资者自行承担，我行对此不承担任何责任。</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10、最不利的投资情形：如因金融市场发生重大不利变动，或产品投资的债务人出现信用状况严重恶化或清盘破产等情况，投资者投资“宝益得”系列理财本金可能会有部分或全部损失，理财产品收益率可能为零。</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 xml:space="preserve">六、信息披露 </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w:t>
      </w:r>
      <w:r w:rsidRPr="001C698B">
        <w:rPr>
          <w:rFonts w:ascii="仿宋_GB2312" w:eastAsia="仿宋_GB2312" w:hint="eastAsia"/>
          <w:bCs/>
          <w:iCs/>
          <w:sz w:val="24"/>
        </w:rPr>
        <w:lastRenderedPageBreak/>
        <w:t>渠道，进行信息披露，投资者应定期通过上述渠道获知有关本理财产品相关信息。</w:t>
      </w:r>
    </w:p>
    <w:p w:rsidR="00F53D66" w:rsidRPr="001C698B" w:rsidRDefault="00F53D66" w:rsidP="00F53D66">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七、特别提示</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投资者阅读并签署《天津农商银行风险揭示书》、《天津农商银行理财客户权益须知》、《天津农商银行理财产品协议书》及相应产品说明书后，即视为投资者对天津农商银行做出以下承诺：</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1、投资者保证资金来源合法，且系合法拥有，其投资本理财产品已得到相关的授权，不违反任何法律、法规、监管的规定；</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2、投资者同意天津农商银行根据说明书配置资产，由天津农商银行代表投资者以本行名义签署相关法律性文件，并由天津农商银行委托第三方托管理财资产；</w:t>
      </w:r>
    </w:p>
    <w:p w:rsidR="00F53D66" w:rsidRPr="001C698B" w:rsidRDefault="00F53D66" w:rsidP="00F53D66">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3、投资者已清楚知晓，并愿意承担本理财产品的所有风险。</w:t>
      </w:r>
    </w:p>
    <w:p w:rsidR="00F53D66" w:rsidRPr="008A752B" w:rsidRDefault="00F53D66" w:rsidP="00F53D66">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4、投资者</w:t>
      </w:r>
      <w:r w:rsidRPr="007313CD">
        <w:rPr>
          <w:rFonts w:ascii="仿宋_GB2312" w:eastAsia="仿宋_GB2312"/>
          <w:bCs/>
          <w:sz w:val="24"/>
        </w:rPr>
        <w:t>同意</w:t>
      </w:r>
      <w:r w:rsidRPr="008A752B">
        <w:rPr>
          <w:rFonts w:ascii="仿宋_GB2312" w:eastAsia="仿宋_GB2312" w:hint="eastAsia"/>
          <w:bCs/>
          <w:sz w:val="24"/>
        </w:rPr>
        <w:t>天津农商银行在法律法规</w:t>
      </w:r>
      <w:proofErr w:type="gramStart"/>
      <w:r w:rsidRPr="008A752B">
        <w:rPr>
          <w:rFonts w:ascii="仿宋_GB2312" w:eastAsia="仿宋_GB2312" w:hint="eastAsia"/>
          <w:bCs/>
          <w:sz w:val="24"/>
        </w:rPr>
        <w:t>等允许</w:t>
      </w:r>
      <w:proofErr w:type="gramEnd"/>
      <w:r w:rsidRPr="008A752B">
        <w:rPr>
          <w:rFonts w:ascii="仿宋_GB2312" w:eastAsia="仿宋_GB2312" w:hint="eastAsia"/>
          <w:bCs/>
          <w:sz w:val="24"/>
        </w:rPr>
        <w:t>的前提下，根据监管要求或为自身业务或管理需要采集、使用及传输投资者信息。</w:t>
      </w:r>
    </w:p>
    <w:p w:rsidR="00F53D66" w:rsidRPr="00166F4F" w:rsidRDefault="00F53D66" w:rsidP="00F53D66">
      <w:pPr>
        <w:spacing w:line="500" w:lineRule="exact"/>
        <w:ind w:right="120" w:firstLineChars="200" w:firstLine="480"/>
        <w:rPr>
          <w:rFonts w:ascii="仿宋_GB2312" w:eastAsia="仿宋_GB2312"/>
          <w:bCs/>
          <w:sz w:val="24"/>
        </w:rPr>
      </w:pPr>
      <w:r w:rsidRPr="007313CD">
        <w:rPr>
          <w:rFonts w:ascii="仿宋_GB2312" w:eastAsia="仿宋_GB2312" w:hint="eastAsia"/>
          <w:bCs/>
          <w:sz w:val="24"/>
        </w:rPr>
        <w:t>天津农商银行将恪守勤勉尽责的原则，合理配置资产组合，为投资者提供专业化的理财服务，加强信息安全管理，依法履行信息保密义务，保护投资者合法权益。</w:t>
      </w:r>
    </w:p>
    <w:p w:rsidR="006D34C6" w:rsidRPr="00F53D66" w:rsidRDefault="006D34C6" w:rsidP="00F53D66"/>
    <w:sectPr w:rsidR="006D34C6" w:rsidRPr="00F53D66">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57A5" w:rsidRDefault="002A57A5" w:rsidP="00792863">
      <w:r>
        <w:separator/>
      </w:r>
    </w:p>
  </w:endnote>
  <w:endnote w:type="continuationSeparator" w:id="0">
    <w:p w:rsidR="002A57A5" w:rsidRDefault="002A57A5" w:rsidP="00792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805009"/>
      <w:docPartObj>
        <w:docPartGallery w:val="Page Numbers (Bottom of Page)"/>
        <w:docPartUnique/>
      </w:docPartObj>
    </w:sdtPr>
    <w:sdtEndPr/>
    <w:sdtContent>
      <w:sdt>
        <w:sdtPr>
          <w:id w:val="-1669238322"/>
          <w:docPartObj>
            <w:docPartGallery w:val="Page Numbers (Top of Page)"/>
            <w:docPartUnique/>
          </w:docPartObj>
        </w:sdtPr>
        <w:sdtEndPr/>
        <w:sdtContent>
          <w:p w:rsidR="0082156E" w:rsidRDefault="0082156E">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F53D66">
              <w:rPr>
                <w:b/>
                <w:bCs/>
                <w:noProof/>
              </w:rPr>
              <w:t>2</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F53D66">
              <w:rPr>
                <w:b/>
                <w:bCs/>
                <w:noProof/>
              </w:rPr>
              <w:t>11</w:t>
            </w:r>
            <w:r>
              <w:rPr>
                <w:b/>
                <w:bCs/>
                <w:sz w:val="24"/>
                <w:szCs w:val="24"/>
              </w:rPr>
              <w:fldChar w:fldCharType="end"/>
            </w:r>
          </w:p>
        </w:sdtContent>
      </w:sdt>
    </w:sdtContent>
  </w:sdt>
  <w:p w:rsidR="0082156E" w:rsidRDefault="0082156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57A5" w:rsidRDefault="002A57A5" w:rsidP="00792863">
      <w:r>
        <w:separator/>
      </w:r>
    </w:p>
  </w:footnote>
  <w:footnote w:type="continuationSeparator" w:id="0">
    <w:p w:rsidR="002A57A5" w:rsidRDefault="002A57A5" w:rsidP="007928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36547"/>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abstractNum w:abstractNumId="1">
    <w:nsid w:val="74593BBD"/>
    <w:multiLevelType w:val="hybridMultilevel"/>
    <w:tmpl w:val="576C23AC"/>
    <w:lvl w:ilvl="0" w:tplc="04090013">
      <w:start w:val="1"/>
      <w:numFmt w:val="chineseCountingThousand"/>
      <w:lvlText w:val="%1、"/>
      <w:lvlJc w:val="left"/>
      <w:pPr>
        <w:tabs>
          <w:tab w:val="num" w:pos="1271"/>
        </w:tabs>
        <w:ind w:left="1271" w:hanging="720"/>
      </w:pPr>
      <w:rPr>
        <w:rFonts w:hint="default"/>
      </w:rPr>
    </w:lvl>
    <w:lvl w:ilvl="1" w:tplc="04090019" w:tentative="1">
      <w:start w:val="1"/>
      <w:numFmt w:val="lowerLetter"/>
      <w:lvlText w:val="%2)"/>
      <w:lvlJc w:val="left"/>
      <w:pPr>
        <w:tabs>
          <w:tab w:val="num" w:pos="1391"/>
        </w:tabs>
        <w:ind w:left="1391" w:hanging="420"/>
      </w:pPr>
    </w:lvl>
    <w:lvl w:ilvl="2" w:tplc="0409001B" w:tentative="1">
      <w:start w:val="1"/>
      <w:numFmt w:val="lowerRoman"/>
      <w:lvlText w:val="%3."/>
      <w:lvlJc w:val="right"/>
      <w:pPr>
        <w:tabs>
          <w:tab w:val="num" w:pos="1811"/>
        </w:tabs>
        <w:ind w:left="1811" w:hanging="420"/>
      </w:pPr>
    </w:lvl>
    <w:lvl w:ilvl="3" w:tplc="0409000F" w:tentative="1">
      <w:start w:val="1"/>
      <w:numFmt w:val="decimal"/>
      <w:lvlText w:val="%4."/>
      <w:lvlJc w:val="left"/>
      <w:pPr>
        <w:tabs>
          <w:tab w:val="num" w:pos="2231"/>
        </w:tabs>
        <w:ind w:left="2231" w:hanging="420"/>
      </w:pPr>
    </w:lvl>
    <w:lvl w:ilvl="4" w:tplc="04090019" w:tentative="1">
      <w:start w:val="1"/>
      <w:numFmt w:val="lowerLetter"/>
      <w:lvlText w:val="%5)"/>
      <w:lvlJc w:val="left"/>
      <w:pPr>
        <w:tabs>
          <w:tab w:val="num" w:pos="2651"/>
        </w:tabs>
        <w:ind w:left="2651" w:hanging="420"/>
      </w:pPr>
    </w:lvl>
    <w:lvl w:ilvl="5" w:tplc="0409001B" w:tentative="1">
      <w:start w:val="1"/>
      <w:numFmt w:val="lowerRoman"/>
      <w:lvlText w:val="%6."/>
      <w:lvlJc w:val="right"/>
      <w:pPr>
        <w:tabs>
          <w:tab w:val="num" w:pos="3071"/>
        </w:tabs>
        <w:ind w:left="3071" w:hanging="420"/>
      </w:pPr>
    </w:lvl>
    <w:lvl w:ilvl="6" w:tplc="0409000F" w:tentative="1">
      <w:start w:val="1"/>
      <w:numFmt w:val="decimal"/>
      <w:lvlText w:val="%7."/>
      <w:lvlJc w:val="left"/>
      <w:pPr>
        <w:tabs>
          <w:tab w:val="num" w:pos="3491"/>
        </w:tabs>
        <w:ind w:left="3491" w:hanging="420"/>
      </w:pPr>
    </w:lvl>
    <w:lvl w:ilvl="7" w:tplc="04090019" w:tentative="1">
      <w:start w:val="1"/>
      <w:numFmt w:val="lowerLetter"/>
      <w:lvlText w:val="%8)"/>
      <w:lvlJc w:val="left"/>
      <w:pPr>
        <w:tabs>
          <w:tab w:val="num" w:pos="3911"/>
        </w:tabs>
        <w:ind w:left="3911" w:hanging="420"/>
      </w:pPr>
    </w:lvl>
    <w:lvl w:ilvl="8" w:tplc="0409001B" w:tentative="1">
      <w:start w:val="1"/>
      <w:numFmt w:val="lowerRoman"/>
      <w:lvlText w:val="%9."/>
      <w:lvlJc w:val="right"/>
      <w:pPr>
        <w:tabs>
          <w:tab w:val="num" w:pos="4331"/>
        </w:tabs>
        <w:ind w:left="4331"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E1A"/>
    <w:rsid w:val="002A57A5"/>
    <w:rsid w:val="006D34C6"/>
    <w:rsid w:val="00792863"/>
    <w:rsid w:val="0082156E"/>
    <w:rsid w:val="00B647E7"/>
    <w:rsid w:val="00F53D66"/>
    <w:rsid w:val="00FA5E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86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2863"/>
    <w:rPr>
      <w:sz w:val="18"/>
      <w:szCs w:val="18"/>
    </w:rPr>
  </w:style>
  <w:style w:type="paragraph" w:styleId="a4">
    <w:name w:val="footer"/>
    <w:basedOn w:val="a"/>
    <w:link w:val="Char0"/>
    <w:uiPriority w:val="99"/>
    <w:unhideWhenUsed/>
    <w:rsid w:val="00792863"/>
    <w:pPr>
      <w:tabs>
        <w:tab w:val="center" w:pos="4153"/>
        <w:tab w:val="right" w:pos="8306"/>
      </w:tabs>
      <w:snapToGrid w:val="0"/>
      <w:jc w:val="left"/>
    </w:pPr>
    <w:rPr>
      <w:sz w:val="18"/>
      <w:szCs w:val="18"/>
    </w:rPr>
  </w:style>
  <w:style w:type="character" w:customStyle="1" w:styleId="Char0">
    <w:name w:val="页脚 Char"/>
    <w:basedOn w:val="a0"/>
    <w:link w:val="a4"/>
    <w:uiPriority w:val="99"/>
    <w:rsid w:val="0079286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863"/>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9286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92863"/>
    <w:rPr>
      <w:sz w:val="18"/>
      <w:szCs w:val="18"/>
    </w:rPr>
  </w:style>
  <w:style w:type="paragraph" w:styleId="a4">
    <w:name w:val="footer"/>
    <w:basedOn w:val="a"/>
    <w:link w:val="Char0"/>
    <w:uiPriority w:val="99"/>
    <w:unhideWhenUsed/>
    <w:rsid w:val="00792863"/>
    <w:pPr>
      <w:tabs>
        <w:tab w:val="center" w:pos="4153"/>
        <w:tab w:val="right" w:pos="8306"/>
      </w:tabs>
      <w:snapToGrid w:val="0"/>
      <w:jc w:val="left"/>
    </w:pPr>
    <w:rPr>
      <w:sz w:val="18"/>
      <w:szCs w:val="18"/>
    </w:rPr>
  </w:style>
  <w:style w:type="character" w:customStyle="1" w:styleId="Char0">
    <w:name w:val="页脚 Char"/>
    <w:basedOn w:val="a0"/>
    <w:link w:val="a4"/>
    <w:uiPriority w:val="99"/>
    <w:rsid w:val="0079286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Microsoft_Excel_97-2003____1.xls"/></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1202</Words>
  <Characters>6852</Characters>
  <Application>Microsoft Office Word</Application>
  <DocSecurity>0</DocSecurity>
  <Lines>57</Lines>
  <Paragraphs>16</Paragraphs>
  <ScaleCrop>false</ScaleCrop>
  <Company/>
  <LinksUpToDate>false</LinksUpToDate>
  <CharactersWithSpaces>8038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cp:revision>
  <dcterms:created xsi:type="dcterms:W3CDTF">2019-04-15T02:51:00Z</dcterms:created>
  <dcterms:modified xsi:type="dcterms:W3CDTF">2019-04-15T08:23:00Z</dcterms:modified>
</cp:coreProperties>
</file>