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BA" w:rsidRDefault="00463CBA" w:rsidP="00463CBA">
      <w:pPr>
        <w:jc w:val="center"/>
        <w:rPr>
          <w:rFonts w:ascii="仿宋_GB2312" w:eastAsia="仿宋_GB2312"/>
          <w:b/>
          <w:sz w:val="28"/>
          <w:szCs w:val="28"/>
        </w:rPr>
      </w:pPr>
      <w:bookmarkStart w:id="0" w:name="_GoBack"/>
      <w:r>
        <w:rPr>
          <w:rFonts w:ascii="仿宋_GB2312" w:eastAsia="仿宋_GB2312" w:hint="eastAsia"/>
          <w:b/>
          <w:sz w:val="28"/>
          <w:szCs w:val="28"/>
        </w:rPr>
        <w:t>天津农商银行2018年度“宝益得”系列</w:t>
      </w:r>
    </w:p>
    <w:bookmarkEnd w:id="0"/>
    <w:p w:rsidR="00463CBA" w:rsidRDefault="00463CBA" w:rsidP="00463CBA">
      <w:pPr>
        <w:jc w:val="center"/>
        <w:rPr>
          <w:rFonts w:ascii="仿宋_GB2312" w:eastAsia="仿宋_GB2312"/>
          <w:b/>
          <w:sz w:val="28"/>
          <w:szCs w:val="28"/>
        </w:rPr>
      </w:pPr>
      <w:r>
        <w:rPr>
          <w:rFonts w:ascii="仿宋_GB2312" w:eastAsia="仿宋_GB2312" w:hint="eastAsia"/>
          <w:b/>
          <w:sz w:val="28"/>
          <w:szCs w:val="28"/>
        </w:rPr>
        <w:t>人民币理财产品客户权益须知</w:t>
      </w:r>
    </w:p>
    <w:p w:rsidR="00463CBA" w:rsidRDefault="00463CBA" w:rsidP="00463CBA">
      <w:pPr>
        <w:rPr>
          <w:rFonts w:ascii="仿宋_GB2312" w:eastAsia="仿宋_GB2312"/>
          <w:sz w:val="24"/>
        </w:rPr>
      </w:pPr>
      <w:r>
        <w:rPr>
          <w:rFonts w:ascii="仿宋_GB2312" w:eastAsia="仿宋_GB2312" w:hint="eastAsia"/>
          <w:sz w:val="24"/>
        </w:rPr>
        <w:t>尊敬的理财客户：</w:t>
      </w:r>
    </w:p>
    <w:p w:rsidR="00463CBA" w:rsidRDefault="00463CBA" w:rsidP="00463CBA">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463CBA" w:rsidRDefault="00463CBA" w:rsidP="00463CBA">
      <w:pPr>
        <w:rPr>
          <w:rFonts w:ascii="仿宋_GB2312" w:eastAsia="仿宋_GB2312"/>
          <w:sz w:val="24"/>
        </w:rPr>
      </w:pPr>
      <w:r>
        <w:rPr>
          <w:rFonts w:ascii="仿宋_GB2312" w:eastAsia="仿宋_GB2312" w:hint="eastAsia"/>
          <w:sz w:val="24"/>
        </w:rPr>
        <w:t>在投资理财产品之前认真阅读以下内容：</w:t>
      </w:r>
    </w:p>
    <w:p w:rsidR="00463CBA" w:rsidRDefault="00463CBA" w:rsidP="00463CBA">
      <w:pPr>
        <w:ind w:firstLineChars="200" w:firstLine="480"/>
        <w:rPr>
          <w:rFonts w:ascii="仿宋_GB2312" w:eastAsia="仿宋_GB2312"/>
          <w:sz w:val="24"/>
        </w:rPr>
      </w:pPr>
      <w:r>
        <w:rPr>
          <w:rFonts w:ascii="仿宋_GB2312" w:eastAsia="仿宋_GB2312" w:hint="eastAsia"/>
          <w:sz w:val="24"/>
        </w:rPr>
        <w:t>一、理财产品购买流程</w:t>
      </w:r>
    </w:p>
    <w:p w:rsidR="00463CBA" w:rsidRDefault="00463CBA" w:rsidP="00463CBA">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63CBA" w:rsidRDefault="00463CBA" w:rsidP="00463CBA">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63CBA" w:rsidRDefault="00463CBA" w:rsidP="00463CBA">
      <w:pPr>
        <w:ind w:firstLine="480"/>
        <w:rPr>
          <w:rFonts w:ascii="仿宋_GB2312" w:eastAsia="仿宋_GB2312"/>
          <w:sz w:val="24"/>
        </w:rPr>
      </w:pPr>
      <w:r>
        <w:rPr>
          <w:rFonts w:ascii="仿宋_GB2312" w:eastAsia="仿宋_GB2312" w:hint="eastAsia"/>
          <w:sz w:val="24"/>
        </w:rPr>
        <w:t>二、客户风险承受能力评估</w:t>
      </w:r>
    </w:p>
    <w:p w:rsidR="00463CBA" w:rsidRDefault="00463CBA" w:rsidP="00463CBA">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63CBA" w:rsidRDefault="00463CBA" w:rsidP="00463CBA">
      <w:pPr>
        <w:ind w:firstLine="480"/>
        <w:rPr>
          <w:rFonts w:ascii="仿宋_GB2312" w:eastAsia="仿宋_GB2312"/>
          <w:sz w:val="24"/>
        </w:rPr>
      </w:pPr>
      <w:r>
        <w:rPr>
          <w:rFonts w:ascii="仿宋_GB2312" w:eastAsia="仿宋_GB2312" w:hint="eastAsia"/>
          <w:sz w:val="24"/>
        </w:rPr>
        <w:t>三、信息公告</w:t>
      </w:r>
    </w:p>
    <w:p w:rsidR="00463CBA" w:rsidRDefault="00463CBA" w:rsidP="00463CBA">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63CBA" w:rsidRDefault="00463CBA" w:rsidP="00463CBA">
      <w:pPr>
        <w:ind w:firstLine="480"/>
        <w:rPr>
          <w:rFonts w:ascii="仿宋_GB2312" w:eastAsia="仿宋_GB2312"/>
          <w:sz w:val="24"/>
        </w:rPr>
      </w:pPr>
      <w:r>
        <w:rPr>
          <w:rFonts w:ascii="仿宋_GB2312" w:eastAsia="仿宋_GB2312" w:hint="eastAsia"/>
          <w:sz w:val="24"/>
        </w:rPr>
        <w:t>四、投诉及建议</w:t>
      </w:r>
    </w:p>
    <w:p w:rsidR="00463CBA" w:rsidRDefault="00463CBA" w:rsidP="00463CBA">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463CBA" w:rsidRDefault="00463CBA" w:rsidP="00463CBA">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463CBA" w:rsidRDefault="00463CBA" w:rsidP="00463CBA">
      <w:pPr>
        <w:rPr>
          <w:rFonts w:ascii="仿宋_GB2312" w:eastAsia="仿宋_GB2312"/>
          <w:sz w:val="24"/>
        </w:rPr>
      </w:pPr>
    </w:p>
    <w:p w:rsidR="00463CBA" w:rsidRDefault="00463CBA" w:rsidP="00463CBA">
      <w:pPr>
        <w:rPr>
          <w:rFonts w:ascii="仿宋_GB2312" w:eastAsia="仿宋_GB2312"/>
          <w:sz w:val="24"/>
        </w:rPr>
      </w:pPr>
    </w:p>
    <w:p w:rsidR="00463CBA" w:rsidRDefault="00463CBA" w:rsidP="00463CBA">
      <w:pPr>
        <w:rPr>
          <w:rFonts w:ascii="仿宋_GB2312" w:eastAsia="仿宋_GB2312"/>
          <w:sz w:val="24"/>
        </w:rPr>
      </w:pPr>
    </w:p>
    <w:p w:rsidR="00463CBA" w:rsidRDefault="00463CBA" w:rsidP="00463CBA">
      <w:pPr>
        <w:rPr>
          <w:rFonts w:ascii="仿宋_GB2312" w:eastAsia="仿宋_GB2312"/>
          <w:sz w:val="24"/>
        </w:rPr>
      </w:pPr>
    </w:p>
    <w:p w:rsidR="00463CBA" w:rsidRDefault="00463CBA" w:rsidP="00463CBA">
      <w:pPr>
        <w:rPr>
          <w:rFonts w:ascii="仿宋_GB2312" w:eastAsia="仿宋_GB2312"/>
          <w:sz w:val="24"/>
        </w:rPr>
      </w:pPr>
      <w:r>
        <w:rPr>
          <w:rFonts w:ascii="仿宋_GB2312" w:eastAsia="仿宋_GB2312" w:hint="eastAsia"/>
          <w:sz w:val="24"/>
        </w:rPr>
        <w:t xml:space="preserve">                                         天津农村商业银行股份有限公司</w:t>
      </w:r>
    </w:p>
    <w:p w:rsidR="00463CBA" w:rsidRDefault="00463CBA" w:rsidP="00463CBA">
      <w:pPr>
        <w:rPr>
          <w:rFonts w:ascii="仿宋_GB2312" w:eastAsia="仿宋_GB2312"/>
          <w:b/>
          <w:sz w:val="24"/>
        </w:rPr>
      </w:pPr>
    </w:p>
    <w:p w:rsidR="00463CBA" w:rsidRDefault="00463CBA" w:rsidP="00463CBA">
      <w:pPr>
        <w:jc w:val="center"/>
        <w:rPr>
          <w:rFonts w:ascii="仿宋_GB2312" w:eastAsia="仿宋_GB2312"/>
          <w:b/>
          <w:sz w:val="28"/>
          <w:szCs w:val="28"/>
        </w:rPr>
      </w:pPr>
    </w:p>
    <w:p w:rsidR="00463CBA" w:rsidRDefault="00463CBA" w:rsidP="00463CBA">
      <w:pPr>
        <w:rPr>
          <w:rFonts w:ascii="仿宋_GB2312" w:eastAsia="仿宋_GB2312"/>
          <w:b/>
          <w:sz w:val="24"/>
        </w:rPr>
      </w:pPr>
    </w:p>
    <w:p w:rsidR="00463CBA" w:rsidRDefault="00463CBA" w:rsidP="00463CBA">
      <w:pPr>
        <w:rPr>
          <w:rFonts w:ascii="仿宋_GB2312" w:eastAsia="仿宋_GB2312"/>
          <w:b/>
          <w:sz w:val="24"/>
        </w:rPr>
      </w:pPr>
    </w:p>
    <w:p w:rsidR="00463CBA" w:rsidRDefault="00463CBA" w:rsidP="00463CBA">
      <w:pPr>
        <w:rPr>
          <w:rFonts w:ascii="仿宋_GB2312" w:eastAsia="仿宋_GB2312"/>
          <w:b/>
          <w:sz w:val="28"/>
          <w:szCs w:val="28"/>
        </w:rPr>
      </w:pPr>
    </w:p>
    <w:p w:rsidR="00463CBA" w:rsidRDefault="00463CBA" w:rsidP="00463CBA">
      <w:pPr>
        <w:rPr>
          <w:rFonts w:ascii="仿宋_GB2312" w:eastAsia="仿宋_GB2312"/>
          <w:b/>
          <w:sz w:val="28"/>
          <w:szCs w:val="28"/>
        </w:rPr>
      </w:pPr>
    </w:p>
    <w:p w:rsidR="00463CBA" w:rsidRDefault="00463CBA" w:rsidP="00463CBA">
      <w:pPr>
        <w:jc w:val="center"/>
        <w:rPr>
          <w:rFonts w:ascii="仿宋_GB2312" w:eastAsia="仿宋_GB2312"/>
          <w:b/>
          <w:sz w:val="28"/>
          <w:szCs w:val="28"/>
        </w:rPr>
      </w:pPr>
      <w:r>
        <w:rPr>
          <w:rFonts w:ascii="仿宋_GB2312" w:eastAsia="仿宋_GB2312" w:hint="eastAsia"/>
          <w:b/>
          <w:sz w:val="28"/>
          <w:szCs w:val="28"/>
        </w:rPr>
        <w:lastRenderedPageBreak/>
        <w:t>天津农商银行2018年度“宝益得”系列</w:t>
      </w:r>
    </w:p>
    <w:p w:rsidR="00463CBA" w:rsidRDefault="00463CBA" w:rsidP="00463CBA">
      <w:pPr>
        <w:jc w:val="center"/>
        <w:rPr>
          <w:rFonts w:ascii="仿宋_GB2312" w:eastAsia="仿宋_GB2312"/>
          <w:b/>
          <w:sz w:val="28"/>
          <w:szCs w:val="28"/>
        </w:rPr>
      </w:pPr>
      <w:r>
        <w:rPr>
          <w:rFonts w:ascii="仿宋_GB2312" w:eastAsia="仿宋_GB2312" w:hint="eastAsia"/>
          <w:b/>
          <w:sz w:val="28"/>
          <w:szCs w:val="28"/>
        </w:rPr>
        <w:t>人民币理财产品风险揭示书</w:t>
      </w:r>
    </w:p>
    <w:p w:rsidR="00463CBA" w:rsidRDefault="00463CBA" w:rsidP="00463CBA">
      <w:pPr>
        <w:rPr>
          <w:rFonts w:ascii="仿宋_GB2312" w:eastAsia="仿宋_GB2312"/>
          <w:szCs w:val="21"/>
        </w:rPr>
      </w:pPr>
    </w:p>
    <w:p w:rsidR="00463CBA" w:rsidRDefault="00463CBA" w:rsidP="00463CBA">
      <w:pPr>
        <w:rPr>
          <w:rFonts w:ascii="仿宋_GB2312" w:eastAsia="仿宋_GB2312"/>
          <w:szCs w:val="21"/>
        </w:rPr>
      </w:pPr>
      <w:r>
        <w:rPr>
          <w:rFonts w:ascii="仿宋_GB2312" w:eastAsia="仿宋_GB2312" w:hint="eastAsia"/>
          <w:szCs w:val="21"/>
        </w:rPr>
        <w:t xml:space="preserve">尊敬的客户：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63CBA" w:rsidRDefault="00463CBA" w:rsidP="00463CBA">
      <w:pPr>
        <w:ind w:firstLineChars="200" w:firstLine="422"/>
        <w:rPr>
          <w:rFonts w:ascii="仿宋_GB2312" w:eastAsia="仿宋_GB2312"/>
          <w:b/>
          <w:szCs w:val="21"/>
        </w:rPr>
      </w:pPr>
      <w:r>
        <w:rPr>
          <w:rFonts w:ascii="仿宋_GB2312" w:eastAsia="仿宋_GB2312" w:hint="eastAsia"/>
          <w:b/>
          <w:szCs w:val="21"/>
        </w:rPr>
        <w:t>重要须知：</w:t>
      </w:r>
    </w:p>
    <w:p w:rsidR="00463CBA" w:rsidRDefault="00463CBA" w:rsidP="00463CBA">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“宝益得”系列理财产品</w:t>
      </w:r>
      <w:r>
        <w:rPr>
          <w:rFonts w:ascii="仿宋_GB2312" w:eastAsia="仿宋_GB2312" w:hint="eastAsia"/>
          <w:szCs w:val="21"/>
        </w:rPr>
        <w:t xml:space="preserve">适合于风险类型为稳健型（含）以上的、有投资经验或无投资经验的个人投资者；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463CBA" w:rsidRDefault="00463CBA" w:rsidP="00463CBA">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（二）市场风险：“宝益得”系列理财产品收益不随市场利率波动而调整，客户的收益可能因市场利率变化而相对降低。</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（三）流动性风险：“宝益得”系列理财产品在存续期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w:t>
      </w:r>
      <w:r>
        <w:rPr>
          <w:rFonts w:ascii="仿宋_GB2312" w:eastAsia="仿宋_GB2312" w:hint="eastAsia"/>
          <w:szCs w:val="21"/>
        </w:rPr>
        <w:lastRenderedPageBreak/>
        <w:t xml:space="preserve">行联系方式变更或因投资者其他原因导致我行在需要联系投资者时无法及时联系上，则可能会影响投资者的投资决策，由此而产生的责任和风险由投资者自行承担。 </w:t>
      </w:r>
    </w:p>
    <w:p w:rsidR="00463CBA" w:rsidRDefault="00463CBA" w:rsidP="00463CBA">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判断难以按照本系列产品说明书规定向客户提供“宝益得”系列理财产品，我行有权宣布该产品不成立。</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63CBA" w:rsidRDefault="00463CBA" w:rsidP="00463CBA">
      <w:pPr>
        <w:ind w:firstLineChars="200" w:firstLine="420"/>
        <w:rPr>
          <w:rFonts w:ascii="仿宋_GB2312" w:eastAsia="仿宋_GB2312"/>
          <w:szCs w:val="21"/>
        </w:rPr>
      </w:pPr>
      <w:r>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3CBA" w:rsidRDefault="00463CBA" w:rsidP="00463CBA">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63CBA" w:rsidRDefault="00463CBA" w:rsidP="00463CBA">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63CBA" w:rsidRDefault="00463CBA" w:rsidP="00463CBA">
      <w:pPr>
        <w:ind w:firstLineChars="200" w:firstLine="422"/>
        <w:rPr>
          <w:rFonts w:ascii="仿宋_GB2312" w:eastAsia="仿宋_GB2312"/>
          <w:b/>
          <w:szCs w:val="21"/>
        </w:rPr>
      </w:pPr>
    </w:p>
    <w:p w:rsidR="00463CBA" w:rsidRDefault="00463CBA" w:rsidP="00463CBA">
      <w:pPr>
        <w:ind w:firstLineChars="200" w:firstLine="422"/>
        <w:rPr>
          <w:rFonts w:ascii="仿宋_GB2312" w:eastAsia="仿宋_GB2312"/>
          <w:szCs w:val="21"/>
        </w:rPr>
      </w:pPr>
      <w:r>
        <w:rPr>
          <w:rFonts w:ascii="仿宋_GB2312" w:eastAsia="仿宋_GB2312" w:hint="eastAsia"/>
          <w:b/>
          <w:szCs w:val="21"/>
        </w:rPr>
        <w:t>产品特征</w:t>
      </w:r>
      <w:r>
        <w:rPr>
          <w:rFonts w:ascii="仿宋_GB2312" w:eastAsia="仿宋_GB2312" w:hint="eastAsia"/>
          <w:szCs w:val="21"/>
        </w:rPr>
        <w:t>：</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463CBA" w:rsidTr="00F4058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2018年度“宝益得”第33期人民币理财产品；</w:t>
            </w:r>
          </w:p>
        </w:tc>
      </w:tr>
      <w:tr w:rsidR="00463CBA" w:rsidTr="00F4058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firstLineChars="200" w:firstLine="420"/>
              <w:jc w:val="left"/>
              <w:rPr>
                <w:rFonts w:ascii="仿宋_GB2312" w:eastAsia="仿宋_GB2312"/>
                <w:szCs w:val="21"/>
              </w:rPr>
            </w:pPr>
            <w:r>
              <w:rPr>
                <w:rFonts w:ascii="仿宋_GB2312" w:eastAsia="仿宋_GB2312" w:hint="eastAsia"/>
                <w:szCs w:val="21"/>
              </w:rPr>
              <w:t>代码：BYD1833</w:t>
            </w:r>
          </w:p>
        </w:tc>
      </w:tr>
      <w:tr w:rsidR="00463CBA"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非保本浮动收益型</w:t>
            </w:r>
          </w:p>
        </w:tc>
      </w:tr>
      <w:tr w:rsidR="00463CBA"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“宝益得”系列人民币理财产品适合于风险类型为稳健型（含）以上的、有无投资经验的个人投资者均可</w:t>
            </w:r>
          </w:p>
        </w:tc>
      </w:tr>
      <w:tr w:rsidR="00463CBA"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人民币</w:t>
            </w:r>
          </w:p>
        </w:tc>
      </w:tr>
      <w:tr w:rsidR="00463CBA"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119天</w:t>
            </w:r>
          </w:p>
          <w:p w:rsidR="00463CBA" w:rsidRDefault="00463CBA" w:rsidP="00F4058E">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463CBA" w:rsidRDefault="00463CBA" w:rsidP="00463CB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463CBA" w:rsidTr="00F4058E">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463CBA" w:rsidRDefault="00463CBA" w:rsidP="00F4058E">
            <w:pPr>
              <w:ind w:firstLineChars="200" w:firstLine="420"/>
              <w:rPr>
                <w:rFonts w:ascii="仿宋_GB2312" w:eastAsia="仿宋_GB2312"/>
                <w:szCs w:val="21"/>
              </w:rPr>
            </w:pPr>
          </w:p>
          <w:p w:rsidR="00463CBA" w:rsidRDefault="00463CBA" w:rsidP="00F4058E">
            <w:pPr>
              <w:ind w:firstLineChars="200" w:firstLine="420"/>
              <w:rPr>
                <w:rFonts w:ascii="仿宋_GB2312" w:eastAsia="仿宋_GB2312"/>
                <w:szCs w:val="21"/>
              </w:rPr>
            </w:pPr>
          </w:p>
          <w:p w:rsidR="00463CBA" w:rsidRDefault="00463CBA" w:rsidP="00F4058E">
            <w:pPr>
              <w:rPr>
                <w:rFonts w:ascii="仿宋_GB2312" w:eastAsia="仿宋_GB2312"/>
                <w:szCs w:val="21"/>
              </w:rPr>
            </w:pPr>
          </w:p>
          <w:p w:rsidR="00463CBA" w:rsidRDefault="00463CBA" w:rsidP="00F4058E">
            <w:pPr>
              <w:rPr>
                <w:rFonts w:ascii="仿宋_GB2312" w:eastAsia="仿宋_GB2312"/>
                <w:szCs w:val="21"/>
              </w:rPr>
            </w:pPr>
            <w:r>
              <w:rPr>
                <w:rFonts w:ascii="仿宋_GB2312" w:eastAsia="仿宋_GB2312" w:hint="eastAsia"/>
                <w:szCs w:val="21"/>
              </w:rPr>
              <w:t>内部</w:t>
            </w:r>
          </w:p>
          <w:p w:rsidR="00463CBA" w:rsidRDefault="00463CBA" w:rsidP="00F4058E">
            <w:pPr>
              <w:rPr>
                <w:rFonts w:ascii="仿宋_GB2312" w:eastAsia="仿宋_GB2312"/>
                <w:szCs w:val="21"/>
              </w:rPr>
            </w:pPr>
            <w:r>
              <w:rPr>
                <w:rFonts w:ascii="仿宋_GB2312" w:eastAsia="仿宋_GB2312" w:hint="eastAsia"/>
                <w:szCs w:val="21"/>
              </w:rPr>
              <w:t>风险</w:t>
            </w:r>
          </w:p>
          <w:p w:rsidR="00463CBA" w:rsidRDefault="00463CBA" w:rsidP="00F4058E">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szCs w:val="21"/>
              </w:rPr>
              <w:t>“宝益得”系列理财产品内部风险评级为：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463CBA" w:rsidRDefault="00463CBA" w:rsidP="00F4058E">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463CBA" w:rsidTr="00F4058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适合投资策略</w:t>
            </w:r>
          </w:p>
        </w:tc>
      </w:tr>
      <w:tr w:rsidR="00463CBA" w:rsidTr="00F4058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风险控制</w:t>
            </w:r>
          </w:p>
        </w:tc>
      </w:tr>
      <w:tr w:rsidR="00463CBA" w:rsidTr="00F4058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稳健发展</w:t>
            </w:r>
          </w:p>
        </w:tc>
      </w:tr>
      <w:tr w:rsidR="00463CBA" w:rsidTr="00F4058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proofErr w:type="gramStart"/>
            <w:r>
              <w:rPr>
                <w:rFonts w:ascii="仿宋_GB2312" w:eastAsia="仿宋_GB2312" w:hint="eastAsia"/>
                <w:bCs/>
                <w:szCs w:val="21"/>
              </w:rPr>
              <w:t>平衡成长</w:t>
            </w:r>
            <w:proofErr w:type="gramEnd"/>
          </w:p>
        </w:tc>
      </w:tr>
      <w:tr w:rsidR="00463CBA" w:rsidTr="00F4058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积极进取</w:t>
            </w:r>
          </w:p>
        </w:tc>
      </w:tr>
      <w:tr w:rsidR="00463CBA" w:rsidTr="00F4058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463CBA" w:rsidRDefault="00463CBA" w:rsidP="00F4058E">
            <w:pPr>
              <w:rPr>
                <w:rFonts w:ascii="仿宋_GB2312" w:eastAsia="仿宋_GB2312"/>
                <w:szCs w:val="21"/>
              </w:rPr>
            </w:pPr>
            <w:r>
              <w:rPr>
                <w:rFonts w:ascii="仿宋_GB2312" w:eastAsia="仿宋_GB2312" w:hint="eastAsia"/>
                <w:bCs/>
                <w:szCs w:val="21"/>
              </w:rPr>
              <w:t>风险承受</w:t>
            </w:r>
          </w:p>
        </w:tc>
      </w:tr>
    </w:tbl>
    <w:p w:rsidR="00463CBA" w:rsidRDefault="00463CBA" w:rsidP="00463CBA">
      <w:pPr>
        <w:spacing w:line="500" w:lineRule="exact"/>
        <w:rPr>
          <w:rFonts w:ascii="仿宋_GB2312" w:eastAsia="仿宋_GB2312"/>
          <w:b/>
          <w:sz w:val="24"/>
        </w:rPr>
      </w:pPr>
    </w:p>
    <w:p w:rsidR="00463CBA" w:rsidRDefault="00463CBA" w:rsidP="00463CBA">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w:t>
      </w:r>
      <w:r>
        <w:rPr>
          <w:rFonts w:ascii="仿宋_GB2312" w:eastAsia="仿宋_GB2312" w:hint="eastAsia"/>
          <w:b/>
          <w:sz w:val="24"/>
        </w:rPr>
        <w:lastRenderedPageBreak/>
        <w:t>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63CBA" w:rsidRDefault="00463CBA" w:rsidP="00463CBA">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463CBA" w:rsidRDefault="00463CBA" w:rsidP="00463CBA">
      <w:pPr>
        <w:spacing w:line="500" w:lineRule="exact"/>
        <w:rPr>
          <w:rFonts w:ascii="仿宋_GB2312" w:eastAsia="仿宋_GB2312"/>
          <w:b/>
          <w:sz w:val="28"/>
          <w:szCs w:val="28"/>
          <w:u w:val="single"/>
        </w:rPr>
      </w:pPr>
    </w:p>
    <w:p w:rsidR="00463CBA" w:rsidRDefault="00463CBA" w:rsidP="00463CBA">
      <w:pPr>
        <w:spacing w:line="500" w:lineRule="exact"/>
        <w:rPr>
          <w:rFonts w:ascii="仿宋_GB2312" w:eastAsia="仿宋_GB2312"/>
          <w:b/>
          <w:sz w:val="28"/>
          <w:szCs w:val="28"/>
          <w:u w:val="single"/>
        </w:rPr>
      </w:pPr>
    </w:p>
    <w:p w:rsidR="00463CBA" w:rsidRDefault="00463CBA" w:rsidP="00463CBA">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463CBA" w:rsidRDefault="00463CBA" w:rsidP="00463CBA">
      <w:pPr>
        <w:spacing w:line="500" w:lineRule="exact"/>
        <w:ind w:firstLineChars="200" w:firstLine="562"/>
        <w:jc w:val="center"/>
        <w:rPr>
          <w:rFonts w:ascii="仿宋_GB2312" w:eastAsia="仿宋_GB2312"/>
          <w:b/>
          <w:sz w:val="28"/>
          <w:szCs w:val="28"/>
          <w:u w:val="single"/>
        </w:rPr>
      </w:pPr>
    </w:p>
    <w:p w:rsidR="00463CBA" w:rsidRDefault="00463CBA" w:rsidP="00463CBA">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463CBA" w:rsidRDefault="00463CBA" w:rsidP="00463CBA">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463CBA" w:rsidRDefault="00463CBA" w:rsidP="00463CBA">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463CBA" w:rsidRDefault="00463CBA" w:rsidP="00463CBA">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463CBA" w:rsidRDefault="00463CBA" w:rsidP="00463CBA">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463CBA" w:rsidRDefault="00463CBA" w:rsidP="00463CBA">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463CBA" w:rsidRDefault="00463CBA" w:rsidP="00463CBA">
      <w:pPr>
        <w:spacing w:line="500" w:lineRule="exact"/>
        <w:ind w:right="120" w:firstLineChars="200" w:firstLine="480"/>
        <w:jc w:val="right"/>
        <w:rPr>
          <w:rFonts w:ascii="仿宋_GB2312" w:eastAsia="仿宋_GB2312"/>
          <w:sz w:val="24"/>
        </w:rPr>
      </w:pPr>
    </w:p>
    <w:p w:rsidR="00463CBA" w:rsidRDefault="00463CBA" w:rsidP="00463CBA">
      <w:pPr>
        <w:spacing w:line="500" w:lineRule="exact"/>
        <w:ind w:right="1080"/>
        <w:rPr>
          <w:rFonts w:ascii="仿宋_GB2312" w:eastAsia="仿宋_GB2312"/>
          <w:sz w:val="24"/>
        </w:rPr>
      </w:pPr>
    </w:p>
    <w:p w:rsidR="00463CBA" w:rsidRDefault="00463CBA" w:rsidP="00463CBA">
      <w:pPr>
        <w:spacing w:line="500" w:lineRule="exact"/>
        <w:ind w:right="120" w:firstLineChars="200" w:firstLine="480"/>
        <w:jc w:val="right"/>
        <w:rPr>
          <w:rFonts w:ascii="仿宋_GB2312" w:eastAsia="仿宋_GB2312"/>
          <w:sz w:val="24"/>
        </w:rPr>
      </w:pPr>
    </w:p>
    <w:p w:rsidR="00463CBA" w:rsidRDefault="00463CBA" w:rsidP="00463CBA">
      <w:pPr>
        <w:spacing w:line="500" w:lineRule="exact"/>
        <w:ind w:right="120" w:firstLineChars="200" w:firstLine="480"/>
        <w:jc w:val="right"/>
        <w:rPr>
          <w:rFonts w:ascii="仿宋_GB2312" w:eastAsia="仿宋_GB2312"/>
          <w:sz w:val="24"/>
        </w:rPr>
      </w:pPr>
    </w:p>
    <w:p w:rsidR="00463CBA" w:rsidRDefault="00463CBA" w:rsidP="00463CBA">
      <w:pPr>
        <w:spacing w:line="500" w:lineRule="exact"/>
        <w:ind w:right="120" w:firstLineChars="200" w:firstLine="480"/>
        <w:jc w:val="right"/>
        <w:rPr>
          <w:rFonts w:ascii="仿宋_GB2312" w:eastAsia="仿宋_GB2312"/>
          <w:sz w:val="24"/>
        </w:rPr>
      </w:pPr>
    </w:p>
    <w:p w:rsidR="00463CBA" w:rsidRDefault="00463CBA" w:rsidP="00463CBA">
      <w:pPr>
        <w:spacing w:line="500" w:lineRule="exact"/>
        <w:ind w:right="120" w:firstLineChars="200" w:firstLine="480"/>
        <w:jc w:val="right"/>
        <w:rPr>
          <w:rFonts w:ascii="仿宋_GB2312" w:eastAsia="仿宋_GB2312"/>
          <w:sz w:val="24"/>
        </w:rPr>
      </w:pPr>
    </w:p>
    <w:p w:rsidR="00463CBA" w:rsidRDefault="00463CBA" w:rsidP="00463CBA">
      <w:pPr>
        <w:spacing w:line="500" w:lineRule="exact"/>
        <w:ind w:right="120" w:firstLineChars="200" w:firstLine="480"/>
        <w:jc w:val="right"/>
        <w:rPr>
          <w:rFonts w:ascii="仿宋_GB2312" w:eastAsia="仿宋_GB2312"/>
          <w:sz w:val="24"/>
        </w:rPr>
      </w:pPr>
    </w:p>
    <w:p w:rsidR="00463CBA" w:rsidRDefault="00463CBA" w:rsidP="00463CBA">
      <w:pPr>
        <w:spacing w:line="500" w:lineRule="exact"/>
        <w:ind w:right="120" w:firstLineChars="200" w:firstLine="480"/>
        <w:jc w:val="right"/>
        <w:rPr>
          <w:rFonts w:ascii="仿宋_GB2312" w:eastAsia="仿宋_GB2312"/>
          <w:sz w:val="24"/>
        </w:rPr>
      </w:pPr>
    </w:p>
    <w:p w:rsidR="00463CBA" w:rsidRPr="001C698B" w:rsidRDefault="00463CBA" w:rsidP="00463CB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63CBA" w:rsidRPr="001C698B" w:rsidRDefault="00463CBA" w:rsidP="00463CB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A76623D" wp14:editId="0AA39A7A">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63CBA"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3CBA" w:rsidRPr="00B93190"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63CBA"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3CBA"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63CBA" w:rsidRPr="006B501C"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63CBA" w:rsidRPr="00420C15" w:rsidRDefault="00463CBA" w:rsidP="00463CB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3.4pt;margin-top:47.5pt;width:473.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">
                <v:textbox>
                  <w:txbxContent>
                    <w:p w:rsidR="00463CBA"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3CBA" w:rsidRPr="00B93190"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63CBA"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3CBA"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63CBA" w:rsidRPr="006B501C" w:rsidRDefault="00463CBA" w:rsidP="00463CB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63CBA" w:rsidRPr="00420C15" w:rsidRDefault="00463CBA" w:rsidP="00463CB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63CBA" w:rsidRDefault="00463CBA" w:rsidP="00463CBA">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463CBA" w:rsidTr="00F4058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2018年度“宝益得”第33期人民币理财产品；</w:t>
            </w:r>
          </w:p>
        </w:tc>
      </w:tr>
      <w:tr w:rsidR="00463CBA" w:rsidTr="00F4058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ind w:firstLineChars="200" w:firstLine="420"/>
              <w:jc w:val="left"/>
              <w:rPr>
                <w:rFonts w:ascii="仿宋_GB2312" w:eastAsia="仿宋_GB2312"/>
                <w:szCs w:val="21"/>
              </w:rPr>
            </w:pPr>
            <w:r>
              <w:rPr>
                <w:rFonts w:ascii="仿宋_GB2312" w:eastAsia="仿宋_GB2312" w:hint="eastAsia"/>
                <w:szCs w:val="21"/>
              </w:rPr>
              <w:t>代码：BYD1833</w:t>
            </w:r>
          </w:p>
        </w:tc>
      </w:tr>
      <w:tr w:rsidR="00463CBA" w:rsidTr="00F4058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CBA" w:rsidRDefault="00463CBA" w:rsidP="00F4058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E860EA">
              <w:rPr>
                <w:rFonts w:ascii="仿宋_GB2312" w:eastAsia="仿宋_GB2312"/>
                <w:szCs w:val="21"/>
              </w:rPr>
              <w:t>C1104418000136</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463CBA" w:rsidRDefault="00463CBA" w:rsidP="00F4058E">
            <w:pPr>
              <w:ind w:firstLineChars="200" w:firstLine="420"/>
              <w:rPr>
                <w:rFonts w:ascii="仿宋_GB2312" w:eastAsia="仿宋_GB2312"/>
                <w:szCs w:val="21"/>
              </w:rPr>
            </w:pPr>
            <w:r>
              <w:rPr>
                <w:rFonts w:ascii="仿宋_GB2312" w:eastAsia="仿宋_GB2312" w:hint="eastAsia"/>
                <w:szCs w:val="21"/>
              </w:rPr>
              <w:t>“宝益得”系列人民币理财产品适合投资者类型为稳健型、平衡型、成长型、进取型的个人投资者；</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ind w:firstLineChars="200" w:firstLine="420"/>
              <w:rPr>
                <w:rFonts w:ascii="仿宋_GB2312" w:eastAsia="仿宋_GB2312"/>
                <w:szCs w:val="21"/>
              </w:rPr>
            </w:pPr>
            <w:r>
              <w:rPr>
                <w:rFonts w:ascii="仿宋_GB2312" w:eastAsia="仿宋_GB2312" w:hint="eastAsia"/>
                <w:szCs w:val="21"/>
              </w:rPr>
              <w:t>119天</w:t>
            </w:r>
          </w:p>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“宝益得”系列理财产品为非保本浮动收益型理财产品；</w:t>
            </w:r>
          </w:p>
        </w:tc>
      </w:tr>
      <w:tr w:rsidR="00463CBA"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“宝益得”系列理财产品为较低风险产品；</w:t>
            </w:r>
          </w:p>
        </w:tc>
      </w:tr>
      <w:tr w:rsidR="00463CBA"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2亿元</w:t>
            </w:r>
          </w:p>
        </w:tc>
      </w:tr>
      <w:tr w:rsidR="00463CBA"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2018年5月10日-2018年5月16日</w:t>
            </w:r>
          </w:p>
        </w:tc>
      </w:tr>
      <w:tr w:rsidR="00463CBA"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63CBA" w:rsidRDefault="00463CBA" w:rsidP="00F4058E">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63CBA" w:rsidRDefault="00463CBA" w:rsidP="00F4058E">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2018年05月17日</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2018年09月13日</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招商银行股份有限公司或我行指定的其他托管人</w:t>
            </w:r>
          </w:p>
        </w:tc>
      </w:tr>
      <w:tr w:rsidR="00463CBA" w:rsidTr="00F4058E">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463CBA" w:rsidRDefault="00463CBA" w:rsidP="00F4058E">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3CBA" w:rsidRDefault="00463CBA" w:rsidP="00F4058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5.30%</w:t>
            </w:r>
            <w:r>
              <w:rPr>
                <w:rFonts w:ascii="仿宋_GB2312" w:eastAsia="仿宋_GB2312" w:hint="eastAsia"/>
                <w:szCs w:val="21"/>
              </w:rPr>
              <w:t>；</w:t>
            </w:r>
          </w:p>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w:t>
            </w:r>
            <w:r>
              <w:t>0.1</w:t>
            </w:r>
            <w:r>
              <w:rPr>
                <w:rFonts w:hint="eastAsia"/>
              </w:rPr>
              <w:t>‰</w:t>
            </w:r>
            <w:r>
              <w:rPr>
                <w:rFonts w:ascii="仿宋_GB2312" w:eastAsia="仿宋_GB2312" w:hint="eastAsia"/>
                <w:szCs w:val="21"/>
              </w:rPr>
              <w:t>，扣除上述费用，若产品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最低</w:t>
            </w:r>
            <w:r>
              <w:rPr>
                <w:rFonts w:ascii="仿宋_GB2312" w:eastAsia="仿宋_GB2312" w:hint="eastAsia"/>
                <w:szCs w:val="21"/>
                <w:u w:val="single"/>
              </w:rPr>
              <w:t>20万</w:t>
            </w:r>
            <w:r>
              <w:rPr>
                <w:rFonts w:ascii="仿宋_GB2312" w:eastAsia="仿宋_GB2312" w:hint="eastAsia"/>
                <w:szCs w:val="21"/>
              </w:rPr>
              <w:t>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63CBA" w:rsidTr="00F4058E">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463CBA"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463CBA" w:rsidTr="00F4058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463CBA" w:rsidTr="00F4058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463CBA" w:rsidRDefault="00463CBA" w:rsidP="00F4058E">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463CBA" w:rsidRDefault="00463CBA" w:rsidP="00463CBA">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463CBA" w:rsidRDefault="00463CBA" w:rsidP="00463CBA">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463CBA" w:rsidRDefault="00463CBA" w:rsidP="00463CBA">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463CBA" w:rsidRDefault="00463CBA" w:rsidP="00463CBA">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463CBA" w:rsidRDefault="00463CBA" w:rsidP="00463CBA">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463CBA" w:rsidRDefault="00463CBA" w:rsidP="00463CBA">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为5.30%。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预期年化收益率</w:t>
      </w:r>
      <w:proofErr w:type="gramEnd"/>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以投资者认购119天理财产品金额为20万元为例，本理财产品正常到期，扣除管理费、托管费等相关费用后，假设产品分配收益率为5.30%，则理财收益为： </w:t>
      </w:r>
    </w:p>
    <w:bookmarkStart w:id="1" w:name="_MON_1586956466"/>
    <w:bookmarkEnd w:id="1"/>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7189771" r:id="rId9"/>
        </w:objec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463CBA" w:rsidRDefault="00463CBA" w:rsidP="00463CBA">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2、市场风险：“宝益得”系列理财产品收益随市场利率波动而调整，客户的收益可能因市场利率变化而相对降低。</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3、流动性风险：“宝益得”系列理财产品在存续期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判断难以按照本系列产品说明书规定向客户提供“宝益得”系列理财产品，我行有权宣布该产品不成立。</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63CBA" w:rsidRDefault="00463CBA" w:rsidP="00463CBA">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463CBA" w:rsidRDefault="00463CBA" w:rsidP="00463CBA">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463CBA" w:rsidRDefault="00463CBA" w:rsidP="00463CBA">
      <w:pPr>
        <w:spacing w:line="500" w:lineRule="exact"/>
        <w:ind w:right="120" w:firstLineChars="200" w:firstLine="480"/>
        <w:rPr>
          <w:rFonts w:ascii="仿宋_GB2312" w:eastAsia="仿宋_GB2312"/>
          <w:bCs/>
          <w:sz w:val="24"/>
        </w:rPr>
      </w:pPr>
    </w:p>
    <w:p w:rsidR="00F206DC" w:rsidRPr="00463CBA" w:rsidRDefault="00F206DC"/>
    <w:sectPr w:rsidR="00F206DC" w:rsidRPr="00463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42" w:rsidRDefault="007C6042" w:rsidP="00463CBA">
      <w:r>
        <w:separator/>
      </w:r>
    </w:p>
  </w:endnote>
  <w:endnote w:type="continuationSeparator" w:id="0">
    <w:p w:rsidR="007C6042" w:rsidRDefault="007C6042" w:rsidP="004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42" w:rsidRDefault="007C6042" w:rsidP="00463CBA">
      <w:r>
        <w:separator/>
      </w:r>
    </w:p>
  </w:footnote>
  <w:footnote w:type="continuationSeparator" w:id="0">
    <w:p w:rsidR="007C6042" w:rsidRDefault="007C6042" w:rsidP="0046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A21"/>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49"/>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3849"/>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3CBA"/>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C6042"/>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CBA"/>
    <w:rPr>
      <w:sz w:val="18"/>
      <w:szCs w:val="18"/>
    </w:rPr>
  </w:style>
  <w:style w:type="paragraph" w:styleId="a4">
    <w:name w:val="footer"/>
    <w:basedOn w:val="a"/>
    <w:link w:val="Char0"/>
    <w:uiPriority w:val="99"/>
    <w:unhideWhenUsed/>
    <w:rsid w:val="00463CBA"/>
    <w:pPr>
      <w:tabs>
        <w:tab w:val="center" w:pos="4153"/>
        <w:tab w:val="right" w:pos="8306"/>
      </w:tabs>
      <w:snapToGrid w:val="0"/>
      <w:jc w:val="left"/>
    </w:pPr>
    <w:rPr>
      <w:sz w:val="18"/>
      <w:szCs w:val="18"/>
    </w:rPr>
  </w:style>
  <w:style w:type="character" w:customStyle="1" w:styleId="Char0">
    <w:name w:val="页脚 Char"/>
    <w:basedOn w:val="a0"/>
    <w:link w:val="a4"/>
    <w:uiPriority w:val="99"/>
    <w:rsid w:val="00463C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CBA"/>
    <w:rPr>
      <w:sz w:val="18"/>
      <w:szCs w:val="18"/>
    </w:rPr>
  </w:style>
  <w:style w:type="paragraph" w:styleId="a4">
    <w:name w:val="footer"/>
    <w:basedOn w:val="a"/>
    <w:link w:val="Char0"/>
    <w:uiPriority w:val="99"/>
    <w:unhideWhenUsed/>
    <w:rsid w:val="00463CBA"/>
    <w:pPr>
      <w:tabs>
        <w:tab w:val="center" w:pos="4153"/>
        <w:tab w:val="right" w:pos="8306"/>
      </w:tabs>
      <w:snapToGrid w:val="0"/>
      <w:jc w:val="left"/>
    </w:pPr>
    <w:rPr>
      <w:sz w:val="18"/>
      <w:szCs w:val="18"/>
    </w:rPr>
  </w:style>
  <w:style w:type="character" w:customStyle="1" w:styleId="Char0">
    <w:name w:val="页脚 Char"/>
    <w:basedOn w:val="a0"/>
    <w:link w:val="a4"/>
    <w:uiPriority w:val="99"/>
    <w:rsid w:val="00463C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1173</Words>
  <Characters>6692</Characters>
  <Application>Microsoft Office Word</Application>
  <DocSecurity>0</DocSecurity>
  <Lines>55</Lines>
  <Paragraphs>15</Paragraphs>
  <ScaleCrop>false</ScaleCrop>
  <Company>TRCBANK</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2018-05-07T01:16:00Z</dcterms:created>
  <dcterms:modified xsi:type="dcterms:W3CDTF">2018-05-07T01:16:00Z</dcterms:modified>
</cp:coreProperties>
</file>