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D0" w:rsidRDefault="00BF55D0" w:rsidP="00AF0B42">
      <w:pPr>
        <w:jc w:val="center"/>
        <w:rPr>
          <w:rFonts w:ascii="仿宋_GB2312" w:eastAsia="仿宋_GB2312"/>
          <w:b/>
          <w:sz w:val="28"/>
          <w:szCs w:val="28"/>
        </w:rPr>
      </w:pPr>
      <w:r>
        <w:rPr>
          <w:rFonts w:ascii="仿宋_GB2312" w:eastAsia="仿宋_GB2312" w:hint="eastAsia"/>
          <w:b/>
          <w:sz w:val="28"/>
          <w:szCs w:val="28"/>
        </w:rPr>
        <w:t>天津农商银行 “吉祥-添金”系列人民币理财产品</w:t>
      </w:r>
    </w:p>
    <w:p w:rsidR="00BF55D0" w:rsidRDefault="00BF55D0" w:rsidP="00BF55D0">
      <w:pPr>
        <w:ind w:firstLineChars="1250" w:firstLine="3514"/>
        <w:jc w:val="left"/>
        <w:rPr>
          <w:rFonts w:ascii="仿宋_GB2312" w:eastAsia="仿宋_GB2312"/>
          <w:b/>
          <w:sz w:val="28"/>
          <w:szCs w:val="28"/>
        </w:rPr>
      </w:pPr>
      <w:r>
        <w:rPr>
          <w:rFonts w:ascii="仿宋_GB2312" w:eastAsia="仿宋_GB2312" w:hint="eastAsia"/>
          <w:b/>
          <w:sz w:val="28"/>
          <w:szCs w:val="28"/>
        </w:rPr>
        <w:t>客户权益须知</w:t>
      </w:r>
    </w:p>
    <w:p w:rsidR="00BF55D0" w:rsidRDefault="00BF55D0" w:rsidP="00BF55D0">
      <w:pPr>
        <w:rPr>
          <w:rFonts w:ascii="仿宋_GB2312" w:eastAsia="仿宋_GB2312"/>
          <w:sz w:val="24"/>
        </w:rPr>
      </w:pPr>
      <w:r>
        <w:rPr>
          <w:rFonts w:ascii="仿宋_GB2312" w:eastAsia="仿宋_GB2312" w:hint="eastAsia"/>
          <w:sz w:val="24"/>
        </w:rPr>
        <w:t>尊敬的理财客户：</w:t>
      </w:r>
    </w:p>
    <w:p w:rsidR="00BF55D0" w:rsidRDefault="00BF55D0" w:rsidP="00BF55D0">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BF55D0" w:rsidRDefault="00BF55D0" w:rsidP="00BF55D0">
      <w:pPr>
        <w:rPr>
          <w:rFonts w:ascii="仿宋_GB2312" w:eastAsia="仿宋_GB2312"/>
          <w:sz w:val="24"/>
        </w:rPr>
      </w:pPr>
      <w:r>
        <w:rPr>
          <w:rFonts w:ascii="仿宋_GB2312" w:eastAsia="仿宋_GB2312" w:hint="eastAsia"/>
          <w:sz w:val="24"/>
        </w:rPr>
        <w:t>在投资理财产品之前认真阅读以下内容：</w:t>
      </w:r>
    </w:p>
    <w:p w:rsidR="00BF55D0" w:rsidRDefault="00BF55D0" w:rsidP="00BF55D0">
      <w:pPr>
        <w:ind w:firstLineChars="200" w:firstLine="480"/>
        <w:rPr>
          <w:rFonts w:ascii="仿宋_GB2312" w:eastAsia="仿宋_GB2312"/>
          <w:sz w:val="24"/>
        </w:rPr>
      </w:pPr>
      <w:r>
        <w:rPr>
          <w:rFonts w:ascii="仿宋_GB2312" w:eastAsia="仿宋_GB2312" w:hint="eastAsia"/>
          <w:sz w:val="24"/>
        </w:rPr>
        <w:t>一、理财产品购买流程</w:t>
      </w:r>
    </w:p>
    <w:p w:rsidR="00BF55D0" w:rsidRDefault="00BF55D0" w:rsidP="00BF55D0">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BF55D0" w:rsidRDefault="00BF55D0" w:rsidP="00BF55D0">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BF55D0" w:rsidRDefault="00BF55D0" w:rsidP="00BF55D0">
      <w:pPr>
        <w:ind w:firstLine="480"/>
        <w:rPr>
          <w:rFonts w:ascii="仿宋_GB2312" w:eastAsia="仿宋_GB2312"/>
          <w:sz w:val="24"/>
        </w:rPr>
      </w:pPr>
      <w:r>
        <w:rPr>
          <w:rFonts w:ascii="仿宋_GB2312" w:eastAsia="仿宋_GB2312" w:hint="eastAsia"/>
          <w:sz w:val="24"/>
        </w:rPr>
        <w:t>二、客户风险承受能力评估</w:t>
      </w:r>
    </w:p>
    <w:p w:rsidR="00BF55D0" w:rsidRDefault="00BF55D0" w:rsidP="00BF55D0">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BF55D0" w:rsidRDefault="00BF55D0" w:rsidP="00BF55D0">
      <w:pPr>
        <w:ind w:firstLine="480"/>
        <w:rPr>
          <w:rFonts w:ascii="仿宋_GB2312" w:eastAsia="仿宋_GB2312"/>
          <w:sz w:val="24"/>
        </w:rPr>
      </w:pPr>
      <w:r>
        <w:rPr>
          <w:rFonts w:ascii="仿宋_GB2312" w:eastAsia="仿宋_GB2312" w:hint="eastAsia"/>
          <w:sz w:val="24"/>
        </w:rPr>
        <w:t>三、信息公告</w:t>
      </w:r>
    </w:p>
    <w:p w:rsidR="00BF55D0" w:rsidRDefault="00BF55D0" w:rsidP="00BF55D0">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BF55D0" w:rsidRDefault="00BF55D0" w:rsidP="00BF55D0">
      <w:pPr>
        <w:ind w:firstLine="480"/>
        <w:rPr>
          <w:rFonts w:ascii="仿宋_GB2312" w:eastAsia="仿宋_GB2312"/>
          <w:sz w:val="24"/>
        </w:rPr>
      </w:pPr>
      <w:r>
        <w:rPr>
          <w:rFonts w:ascii="仿宋_GB2312" w:eastAsia="仿宋_GB2312" w:hint="eastAsia"/>
          <w:sz w:val="24"/>
        </w:rPr>
        <w:t>四、投诉及建议</w:t>
      </w:r>
    </w:p>
    <w:p w:rsidR="00BF55D0" w:rsidRDefault="00BF55D0" w:rsidP="00BF55D0">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BF55D0" w:rsidRDefault="00BF55D0" w:rsidP="00BF55D0">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BF55D0" w:rsidRDefault="00BF55D0" w:rsidP="00BF55D0">
      <w:pPr>
        <w:rPr>
          <w:rFonts w:ascii="仿宋_GB2312" w:eastAsia="仿宋_GB2312"/>
          <w:sz w:val="24"/>
        </w:rPr>
      </w:pPr>
    </w:p>
    <w:p w:rsidR="00BF55D0" w:rsidRDefault="00BF55D0" w:rsidP="00BF55D0">
      <w:pPr>
        <w:rPr>
          <w:rFonts w:ascii="仿宋_GB2312" w:eastAsia="仿宋_GB2312"/>
          <w:sz w:val="24"/>
        </w:rPr>
      </w:pPr>
    </w:p>
    <w:p w:rsidR="00BF55D0" w:rsidRDefault="00BF55D0" w:rsidP="00BF55D0">
      <w:pPr>
        <w:rPr>
          <w:rFonts w:ascii="仿宋_GB2312" w:eastAsia="仿宋_GB2312"/>
          <w:sz w:val="24"/>
        </w:rPr>
      </w:pPr>
    </w:p>
    <w:p w:rsidR="00BF55D0" w:rsidRDefault="00BF55D0" w:rsidP="00BF55D0">
      <w:pPr>
        <w:rPr>
          <w:rFonts w:ascii="仿宋_GB2312" w:eastAsia="仿宋_GB2312"/>
          <w:sz w:val="24"/>
        </w:rPr>
      </w:pPr>
    </w:p>
    <w:p w:rsidR="00BF55D0" w:rsidRDefault="00BF55D0" w:rsidP="00BF55D0">
      <w:pPr>
        <w:rPr>
          <w:rFonts w:ascii="仿宋_GB2312" w:eastAsia="仿宋_GB2312"/>
          <w:sz w:val="24"/>
        </w:rPr>
      </w:pPr>
      <w:r>
        <w:rPr>
          <w:rFonts w:ascii="仿宋_GB2312" w:eastAsia="仿宋_GB2312" w:hint="eastAsia"/>
          <w:sz w:val="24"/>
        </w:rPr>
        <w:t xml:space="preserve">                                         天津农村商业银行股份有限公司</w:t>
      </w:r>
    </w:p>
    <w:p w:rsidR="00BF55D0" w:rsidRDefault="00BF55D0" w:rsidP="00BF55D0">
      <w:pPr>
        <w:rPr>
          <w:rFonts w:ascii="仿宋_GB2312" w:eastAsia="仿宋_GB2312"/>
          <w:b/>
          <w:sz w:val="24"/>
        </w:rPr>
      </w:pPr>
    </w:p>
    <w:p w:rsidR="00BF55D0" w:rsidRDefault="00BF55D0" w:rsidP="00BF55D0">
      <w:pPr>
        <w:jc w:val="center"/>
        <w:rPr>
          <w:rFonts w:ascii="仿宋_GB2312" w:eastAsia="仿宋_GB2312"/>
          <w:b/>
          <w:sz w:val="28"/>
          <w:szCs w:val="28"/>
        </w:rPr>
      </w:pPr>
    </w:p>
    <w:p w:rsidR="00BF55D0" w:rsidRDefault="00BF55D0" w:rsidP="00BF55D0">
      <w:pPr>
        <w:rPr>
          <w:rFonts w:ascii="仿宋_GB2312" w:eastAsia="仿宋_GB2312"/>
          <w:b/>
          <w:sz w:val="24"/>
        </w:rPr>
      </w:pPr>
    </w:p>
    <w:p w:rsidR="00BF55D0" w:rsidRDefault="00BF55D0" w:rsidP="00BF55D0">
      <w:pPr>
        <w:rPr>
          <w:rFonts w:ascii="仿宋_GB2312" w:eastAsia="仿宋_GB2312"/>
          <w:b/>
          <w:sz w:val="24"/>
        </w:rPr>
      </w:pPr>
    </w:p>
    <w:p w:rsidR="00BF55D0" w:rsidRDefault="00BF55D0" w:rsidP="00BF55D0">
      <w:pPr>
        <w:rPr>
          <w:rFonts w:ascii="仿宋_GB2312" w:eastAsia="仿宋_GB2312"/>
          <w:b/>
          <w:sz w:val="28"/>
          <w:szCs w:val="28"/>
        </w:rPr>
      </w:pPr>
    </w:p>
    <w:p w:rsidR="00BF55D0" w:rsidRDefault="00BF55D0" w:rsidP="00BF55D0">
      <w:pPr>
        <w:rPr>
          <w:rFonts w:ascii="仿宋_GB2312" w:eastAsia="仿宋_GB2312"/>
          <w:b/>
          <w:sz w:val="28"/>
          <w:szCs w:val="28"/>
        </w:rPr>
      </w:pPr>
    </w:p>
    <w:p w:rsidR="00BF55D0" w:rsidRDefault="00BF55D0" w:rsidP="00BF55D0">
      <w:pPr>
        <w:jc w:val="center"/>
        <w:rPr>
          <w:rFonts w:ascii="仿宋_GB2312" w:eastAsia="仿宋_GB2312"/>
          <w:b/>
          <w:sz w:val="28"/>
          <w:szCs w:val="28"/>
        </w:rPr>
      </w:pPr>
      <w:r>
        <w:rPr>
          <w:rFonts w:ascii="仿宋_GB2312" w:eastAsia="仿宋_GB2312" w:hint="eastAsia"/>
          <w:b/>
          <w:sz w:val="28"/>
          <w:szCs w:val="28"/>
        </w:rPr>
        <w:lastRenderedPageBreak/>
        <w:t>天津农商银行2018年度“吉祥-添金”系列</w:t>
      </w:r>
    </w:p>
    <w:p w:rsidR="00BF55D0" w:rsidRDefault="00BF55D0" w:rsidP="00BF55D0">
      <w:pPr>
        <w:jc w:val="center"/>
        <w:rPr>
          <w:rFonts w:ascii="仿宋_GB2312" w:eastAsia="仿宋_GB2312"/>
          <w:b/>
          <w:sz w:val="28"/>
          <w:szCs w:val="28"/>
        </w:rPr>
      </w:pPr>
      <w:r>
        <w:rPr>
          <w:rFonts w:ascii="仿宋_GB2312" w:eastAsia="仿宋_GB2312" w:hint="eastAsia"/>
          <w:b/>
          <w:sz w:val="28"/>
          <w:szCs w:val="28"/>
        </w:rPr>
        <w:t>人民币理财产品风险揭示书</w:t>
      </w:r>
    </w:p>
    <w:p w:rsidR="00BF55D0" w:rsidRDefault="00BF55D0" w:rsidP="00BF55D0">
      <w:pPr>
        <w:jc w:val="center"/>
        <w:rPr>
          <w:rFonts w:ascii="仿宋_GB2312" w:eastAsia="仿宋_GB2312"/>
          <w:b/>
          <w:sz w:val="28"/>
          <w:szCs w:val="28"/>
        </w:rPr>
      </w:pPr>
      <w:r>
        <w:rPr>
          <w:rFonts w:ascii="Calibri" w:eastAsia="宋体" w:hint="eastAsia"/>
          <w:noProof/>
        </w:rPr>
        <mc:AlternateContent>
          <mc:Choice Requires="wps">
            <w:drawing>
              <wp:anchor distT="0" distB="0" distL="114300" distR="114300" simplePos="0" relativeHeight="251659264" behindDoc="0" locked="0" layoutInCell="1" allowOverlap="1" wp14:anchorId="28898D4F" wp14:editId="3FFEE6EB">
                <wp:simplePos x="0" y="0"/>
                <wp:positionH relativeFrom="column">
                  <wp:posOffset>1050925</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BF55D0" w:rsidRDefault="00BF55D0" w:rsidP="00BF55D0">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BF55D0" w:rsidRDefault="00BF55D0" w:rsidP="00BF55D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BF55D0" w:rsidRDefault="00BF55D0" w:rsidP="00BF55D0">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BF55D0" w:rsidRDefault="00BF55D0" w:rsidP="00BF55D0">
                      <w:pPr>
                        <w:rPr>
                          <w:rFonts w:ascii="华文中宋" w:eastAsia="华文中宋" w:hAnsi="华文中宋"/>
                          <w:b/>
                          <w:sz w:val="28"/>
                          <w:szCs w:val="28"/>
                        </w:rPr>
                      </w:pPr>
                    </w:p>
                  </w:txbxContent>
                </v:textbox>
              </v:roundrect>
            </w:pict>
          </mc:Fallback>
        </mc:AlternateContent>
      </w:r>
    </w:p>
    <w:p w:rsidR="00BF55D0" w:rsidRDefault="00BF55D0" w:rsidP="00BF55D0">
      <w:pPr>
        <w:rPr>
          <w:rFonts w:ascii="仿宋_GB2312" w:eastAsia="仿宋_GB2312"/>
          <w:szCs w:val="21"/>
        </w:rPr>
      </w:pPr>
    </w:p>
    <w:p w:rsidR="00BF55D0" w:rsidRDefault="00BF55D0" w:rsidP="00BF55D0">
      <w:pPr>
        <w:rPr>
          <w:rFonts w:ascii="仿宋_GB2312" w:eastAsia="仿宋_GB2312"/>
          <w:szCs w:val="21"/>
        </w:rPr>
      </w:pPr>
      <w:r>
        <w:rPr>
          <w:rFonts w:ascii="仿宋_GB2312" w:eastAsia="仿宋_GB2312" w:hint="eastAsia"/>
          <w:szCs w:val="21"/>
        </w:rPr>
        <w:t xml:space="preserve">尊敬的客户： </w:t>
      </w:r>
    </w:p>
    <w:p w:rsidR="00BF55D0" w:rsidRDefault="00BF55D0" w:rsidP="00BF55D0">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BF55D0" w:rsidRDefault="00BF55D0" w:rsidP="00BF55D0">
      <w:pPr>
        <w:ind w:firstLineChars="200" w:firstLine="422"/>
        <w:rPr>
          <w:rFonts w:ascii="仿宋_GB2312" w:eastAsia="仿宋_GB2312"/>
          <w:b/>
          <w:szCs w:val="21"/>
        </w:rPr>
      </w:pPr>
      <w:r>
        <w:rPr>
          <w:rFonts w:ascii="仿宋_GB2312" w:eastAsia="仿宋_GB2312" w:hint="eastAsia"/>
          <w:b/>
          <w:szCs w:val="21"/>
        </w:rPr>
        <w:t>重要须知：</w:t>
      </w:r>
    </w:p>
    <w:p w:rsidR="00BF55D0" w:rsidRDefault="00BF55D0" w:rsidP="00BF55D0">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BF55D0" w:rsidRDefault="00BF55D0" w:rsidP="00BF55D0">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“吉祥-添金”系列理财产品</w:t>
      </w:r>
      <w:r>
        <w:rPr>
          <w:rFonts w:ascii="仿宋_GB2312" w:eastAsia="仿宋_GB2312" w:hint="eastAsia"/>
          <w:szCs w:val="21"/>
        </w:rPr>
        <w:t xml:space="preserve">适合于风险类型为稳健型（含）以上的、有投资经验或无投资经验的个人投资者； </w:t>
      </w:r>
    </w:p>
    <w:p w:rsidR="00BF55D0" w:rsidRDefault="00BF55D0" w:rsidP="00BF55D0">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BF55D0" w:rsidRDefault="00BF55D0" w:rsidP="00BF55D0">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BF55D0" w:rsidRDefault="00BF55D0" w:rsidP="00BF55D0">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BF55D0" w:rsidRDefault="00BF55D0" w:rsidP="00BF55D0">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BF55D0" w:rsidRDefault="00BF55D0" w:rsidP="00BF55D0">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BF55D0" w:rsidRDefault="00BF55D0" w:rsidP="00BF55D0">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BF55D0" w:rsidRDefault="00BF55D0" w:rsidP="00BF55D0">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 xml:space="preserve">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BF55D0" w:rsidRDefault="00BF55D0" w:rsidP="00BF55D0">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吉祥-添金”系列理财产品收益不随市场利率波动而调整，客户的收益可能因市场利率变化而相对降低。</w:t>
      </w:r>
    </w:p>
    <w:p w:rsidR="00BF55D0" w:rsidRDefault="00BF55D0" w:rsidP="00BF55D0">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BF55D0" w:rsidRDefault="00BF55D0" w:rsidP="00BF55D0">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BF55D0" w:rsidRDefault="00BF55D0" w:rsidP="00BF55D0">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F55D0" w:rsidRDefault="00BF55D0" w:rsidP="00BF55D0">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吉祥-添金”系列理财产品，我行有权宣布该产品不成立。</w:t>
      </w:r>
    </w:p>
    <w:p w:rsidR="00BF55D0" w:rsidRDefault="00BF55D0" w:rsidP="00BF55D0">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BF55D0" w:rsidRDefault="00BF55D0" w:rsidP="00BF55D0">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BF55D0" w:rsidRDefault="00BF55D0" w:rsidP="00BF55D0">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吉祥-添金”系列理财产品的受理、投资、偿还等的正常进行，甚至导致理财产品收益降低甚至收益为零。对于由不可抗力风险所导致的任何损失，由投资者自行承担，我行对此不承担任何责任。</w:t>
      </w:r>
    </w:p>
    <w:p w:rsidR="00BF55D0" w:rsidRDefault="00BF55D0" w:rsidP="00BF55D0">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BF55D0" w:rsidRDefault="00BF55D0" w:rsidP="00BF55D0">
      <w:pPr>
        <w:ind w:firstLineChars="200" w:firstLine="422"/>
        <w:rPr>
          <w:rFonts w:ascii="仿宋_GB2312" w:eastAsia="仿宋_GB2312"/>
          <w:b/>
          <w:szCs w:val="21"/>
        </w:rPr>
      </w:pPr>
    </w:p>
    <w:p w:rsidR="00BF55D0" w:rsidRDefault="00BF55D0" w:rsidP="00BF55D0">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BF55D0" w:rsidTr="00E402FB">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BF55D0" w:rsidRDefault="00BF55D0" w:rsidP="00E402FB">
            <w:pPr>
              <w:ind w:leftChars="200" w:left="420"/>
              <w:jc w:val="left"/>
              <w:rPr>
                <w:rFonts w:ascii="仿宋_GB2312" w:eastAsia="仿宋_GB2312" w:cs="Times New Roman"/>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BF55D0" w:rsidRDefault="00BF55D0" w:rsidP="00E402FB">
            <w:pPr>
              <w:ind w:firstLineChars="200" w:firstLine="420"/>
              <w:rPr>
                <w:rFonts w:ascii="仿宋_GB2312" w:eastAsia="仿宋_GB2312" w:cs="Times New Roman"/>
                <w:szCs w:val="21"/>
              </w:rPr>
            </w:pPr>
            <w:r>
              <w:rPr>
                <w:rFonts w:ascii="仿宋_GB2312" w:eastAsia="仿宋_GB2312" w:hAnsi="华文中宋" w:hint="eastAsia"/>
                <w:szCs w:val="21"/>
              </w:rPr>
              <w:t xml:space="preserve"> “</w:t>
            </w:r>
            <w:r>
              <w:rPr>
                <w:rFonts w:ascii="仿宋_GB2312" w:eastAsia="仿宋_GB2312" w:hint="eastAsia"/>
                <w:szCs w:val="21"/>
              </w:rPr>
              <w:t>吉祥-添金”第1862期人民币理财产品；</w:t>
            </w:r>
          </w:p>
        </w:tc>
      </w:tr>
      <w:tr w:rsidR="00BF55D0" w:rsidTr="00E402FB">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BF55D0" w:rsidRDefault="00BF55D0" w:rsidP="00E402FB">
            <w:pPr>
              <w:widowControl/>
              <w:jc w:val="left"/>
              <w:rPr>
                <w:rFonts w:ascii="仿宋_GB2312" w:eastAsia="仿宋_GB2312" w:cs="Times New Roman"/>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BF55D0" w:rsidRDefault="00BF55D0" w:rsidP="00E402FB">
            <w:pPr>
              <w:ind w:firstLineChars="200" w:firstLine="420"/>
              <w:jc w:val="left"/>
              <w:rPr>
                <w:rFonts w:ascii="仿宋_GB2312" w:eastAsia="仿宋_GB2312" w:cs="Times New Roman"/>
                <w:szCs w:val="21"/>
              </w:rPr>
            </w:pPr>
            <w:r>
              <w:rPr>
                <w:rFonts w:ascii="仿宋_GB2312" w:eastAsia="仿宋_GB2312" w:hint="eastAsia"/>
                <w:szCs w:val="21"/>
              </w:rPr>
              <w:t>代码：JX-TJ1862</w:t>
            </w:r>
          </w:p>
        </w:tc>
      </w:tr>
      <w:tr w:rsidR="00BF55D0" w:rsidTr="00E402FB">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BF55D0" w:rsidRDefault="00BF55D0" w:rsidP="00E402FB">
            <w:pPr>
              <w:ind w:leftChars="200" w:left="420"/>
              <w:rPr>
                <w:rFonts w:ascii="仿宋_GB2312" w:eastAsia="仿宋_GB2312" w:cs="Times New Roman"/>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BF55D0" w:rsidRDefault="00BF55D0" w:rsidP="00E402FB">
            <w:pPr>
              <w:ind w:firstLineChars="200" w:firstLine="420"/>
              <w:rPr>
                <w:rFonts w:ascii="仿宋_GB2312" w:eastAsia="仿宋_GB2312" w:cs="Times New Roman"/>
                <w:szCs w:val="21"/>
              </w:rPr>
            </w:pPr>
            <w:r>
              <w:rPr>
                <w:rFonts w:ascii="仿宋_GB2312" w:eastAsia="仿宋_GB2312" w:hint="eastAsia"/>
                <w:szCs w:val="21"/>
              </w:rPr>
              <w:t>非保本浮动收益型</w:t>
            </w:r>
          </w:p>
        </w:tc>
      </w:tr>
      <w:tr w:rsidR="00BF55D0" w:rsidTr="00E402FB">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BF55D0" w:rsidRDefault="00BF55D0" w:rsidP="00E402FB">
            <w:pPr>
              <w:ind w:leftChars="200" w:left="420"/>
              <w:rPr>
                <w:rFonts w:ascii="仿宋_GB2312" w:eastAsia="仿宋_GB2312" w:cs="Times New Roman"/>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BF55D0" w:rsidRDefault="00BF55D0" w:rsidP="00E402FB">
            <w:pPr>
              <w:ind w:firstLineChars="200" w:firstLine="420"/>
              <w:rPr>
                <w:rFonts w:ascii="仿宋_GB2312" w:eastAsia="仿宋_GB2312" w:cs="Times New Roman"/>
                <w:szCs w:val="21"/>
              </w:rPr>
            </w:pPr>
            <w:r>
              <w:rPr>
                <w:rFonts w:ascii="仿宋_GB2312" w:eastAsia="仿宋_GB2312" w:hint="eastAsia"/>
                <w:szCs w:val="21"/>
              </w:rPr>
              <w:t>“吉祥-添金”系列人民币理财产品适合于风险类型为稳健型（含）以上的、有无投资经验的个人投资者均可</w:t>
            </w:r>
          </w:p>
        </w:tc>
      </w:tr>
      <w:tr w:rsidR="00BF55D0" w:rsidTr="00E402FB">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BF55D0" w:rsidRDefault="00BF55D0" w:rsidP="00E402FB">
            <w:pPr>
              <w:rPr>
                <w:rFonts w:ascii="仿宋_GB2312" w:eastAsia="仿宋_GB2312" w:cs="Times New Roman"/>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BF55D0" w:rsidRDefault="00BF55D0" w:rsidP="00E402FB">
            <w:pPr>
              <w:ind w:firstLineChars="200" w:firstLine="420"/>
              <w:rPr>
                <w:rFonts w:ascii="仿宋_GB2312" w:eastAsia="仿宋_GB2312" w:cs="Times New Roman"/>
                <w:szCs w:val="21"/>
              </w:rPr>
            </w:pPr>
            <w:r>
              <w:rPr>
                <w:rFonts w:ascii="仿宋_GB2312" w:eastAsia="仿宋_GB2312" w:hint="eastAsia"/>
                <w:szCs w:val="21"/>
              </w:rPr>
              <w:t>人民币</w:t>
            </w:r>
          </w:p>
        </w:tc>
      </w:tr>
      <w:tr w:rsidR="00BF55D0" w:rsidTr="00E402FB">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BF55D0" w:rsidRDefault="00BF55D0" w:rsidP="00E402FB">
            <w:pPr>
              <w:ind w:leftChars="200" w:left="420"/>
              <w:rPr>
                <w:rFonts w:ascii="仿宋_GB2312" w:eastAsia="仿宋_GB2312" w:cs="Times New Roman"/>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BF55D0" w:rsidRDefault="00BF55D0" w:rsidP="00E402FB">
            <w:pPr>
              <w:ind w:firstLineChars="200" w:firstLine="420"/>
              <w:rPr>
                <w:rFonts w:ascii="仿宋_GB2312" w:eastAsia="仿宋_GB2312" w:hAnsi="Calibri" w:cs="Times New Roman"/>
                <w:szCs w:val="21"/>
              </w:rPr>
            </w:pPr>
            <w:r>
              <w:rPr>
                <w:rFonts w:ascii="仿宋_GB2312" w:eastAsia="仿宋_GB2312" w:hint="eastAsia"/>
                <w:szCs w:val="21"/>
              </w:rPr>
              <w:t>238天</w:t>
            </w:r>
          </w:p>
          <w:p w:rsidR="00BF55D0" w:rsidRDefault="00BF55D0" w:rsidP="00E402FB">
            <w:pPr>
              <w:ind w:firstLineChars="200" w:firstLine="420"/>
              <w:rPr>
                <w:rFonts w:ascii="仿宋_GB2312" w:eastAsia="仿宋_GB2312" w:cs="Times New Roman"/>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BF55D0" w:rsidRDefault="00BF55D0" w:rsidP="00BF55D0">
      <w:pPr>
        <w:rPr>
          <w:rFonts w:ascii="仿宋_GB2312" w:eastAsia="仿宋_GB2312" w:hAnsi="Calibri" w:cs="Times New Roman"/>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BF55D0" w:rsidTr="00E402FB">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BF55D0" w:rsidRDefault="00BF55D0" w:rsidP="00E402FB">
            <w:pPr>
              <w:ind w:firstLineChars="200" w:firstLine="420"/>
              <w:rPr>
                <w:rFonts w:ascii="仿宋_GB2312" w:eastAsia="仿宋_GB2312" w:hAnsi="Calibri" w:cs="Times New Roman"/>
                <w:szCs w:val="21"/>
              </w:rPr>
            </w:pPr>
          </w:p>
          <w:p w:rsidR="00BF55D0" w:rsidRDefault="00BF55D0" w:rsidP="00E402FB">
            <w:pPr>
              <w:ind w:firstLineChars="200" w:firstLine="420"/>
              <w:rPr>
                <w:rFonts w:ascii="仿宋_GB2312" w:eastAsia="仿宋_GB2312"/>
                <w:szCs w:val="21"/>
              </w:rPr>
            </w:pPr>
          </w:p>
          <w:p w:rsidR="00BF55D0" w:rsidRDefault="00BF55D0" w:rsidP="00E402FB">
            <w:pPr>
              <w:rPr>
                <w:rFonts w:ascii="仿宋_GB2312" w:eastAsia="仿宋_GB2312"/>
                <w:szCs w:val="21"/>
              </w:rPr>
            </w:pPr>
          </w:p>
          <w:p w:rsidR="00BF55D0" w:rsidRDefault="00BF55D0" w:rsidP="00E402FB">
            <w:pPr>
              <w:rPr>
                <w:rFonts w:ascii="仿宋_GB2312" w:eastAsia="仿宋_GB2312"/>
                <w:szCs w:val="21"/>
              </w:rPr>
            </w:pPr>
            <w:r>
              <w:rPr>
                <w:rFonts w:ascii="仿宋_GB2312" w:eastAsia="仿宋_GB2312" w:hint="eastAsia"/>
                <w:szCs w:val="21"/>
              </w:rPr>
              <w:t>内部</w:t>
            </w:r>
          </w:p>
          <w:p w:rsidR="00BF55D0" w:rsidRDefault="00BF55D0" w:rsidP="00E402FB">
            <w:pPr>
              <w:rPr>
                <w:rFonts w:ascii="仿宋_GB2312" w:eastAsia="仿宋_GB2312"/>
                <w:szCs w:val="21"/>
              </w:rPr>
            </w:pPr>
            <w:r>
              <w:rPr>
                <w:rFonts w:ascii="仿宋_GB2312" w:eastAsia="仿宋_GB2312" w:hint="eastAsia"/>
                <w:szCs w:val="21"/>
              </w:rPr>
              <w:t>风险</w:t>
            </w:r>
          </w:p>
          <w:p w:rsidR="00BF55D0" w:rsidRDefault="00BF55D0" w:rsidP="00E402FB">
            <w:pPr>
              <w:rPr>
                <w:rFonts w:ascii="仿宋_GB2312" w:eastAsia="仿宋_GB2312" w:cs="Times New Roman"/>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hAnsi="Calibri" w:cs="Times New Roman"/>
                <w:szCs w:val="21"/>
              </w:rPr>
            </w:pPr>
            <w:r>
              <w:rPr>
                <w:rFonts w:ascii="仿宋_GB2312" w:eastAsia="仿宋_GB2312" w:hint="eastAsia"/>
                <w:szCs w:val="21"/>
              </w:rPr>
              <w:t>“吉祥-添金”系列理财产品内部风险评级为：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BF55D0" w:rsidRDefault="00BF55D0" w:rsidP="00E402FB">
            <w:pPr>
              <w:rPr>
                <w:rFonts w:ascii="仿宋_GB2312" w:eastAsia="仿宋_GB2312" w:cs="Times New Roman"/>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BF55D0" w:rsidTr="00E402FB">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5D0" w:rsidRDefault="00BF55D0" w:rsidP="00E402FB">
            <w:pPr>
              <w:widowControl/>
              <w:jc w:val="left"/>
              <w:rPr>
                <w:rFonts w:ascii="仿宋_GB2312" w:eastAsia="仿宋_GB2312" w:cs="Times New Roman"/>
                <w:szCs w:val="21"/>
              </w:rPr>
            </w:pPr>
          </w:p>
        </w:tc>
        <w:tc>
          <w:tcPr>
            <w:tcW w:w="2410"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int="eastAsia"/>
                <w:bCs/>
                <w:szCs w:val="21"/>
              </w:rPr>
              <w:t>适合投资策略</w:t>
            </w:r>
          </w:p>
        </w:tc>
      </w:tr>
      <w:tr w:rsidR="00BF55D0" w:rsidTr="00E402FB">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5D0" w:rsidRDefault="00BF55D0" w:rsidP="00E402FB">
            <w:pPr>
              <w:widowControl/>
              <w:jc w:val="left"/>
              <w:rPr>
                <w:rFonts w:ascii="仿宋_GB2312" w:eastAsia="仿宋_GB2312" w:cs="Times New Roman"/>
                <w:szCs w:val="21"/>
              </w:rPr>
            </w:pPr>
          </w:p>
        </w:tc>
        <w:tc>
          <w:tcPr>
            <w:tcW w:w="2410"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int="eastAsia"/>
                <w:bCs/>
                <w:szCs w:val="21"/>
              </w:rPr>
              <w:t>风险控制</w:t>
            </w:r>
          </w:p>
        </w:tc>
      </w:tr>
      <w:tr w:rsidR="00BF55D0" w:rsidTr="00E402FB">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5D0" w:rsidRDefault="00BF55D0" w:rsidP="00E402FB">
            <w:pPr>
              <w:widowControl/>
              <w:jc w:val="left"/>
              <w:rPr>
                <w:rFonts w:ascii="仿宋_GB2312" w:eastAsia="仿宋_GB2312" w:cs="Times New Roman"/>
                <w:szCs w:val="21"/>
              </w:rPr>
            </w:pPr>
          </w:p>
        </w:tc>
        <w:tc>
          <w:tcPr>
            <w:tcW w:w="2410"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int="eastAsia"/>
                <w:bCs/>
                <w:szCs w:val="21"/>
              </w:rPr>
              <w:t>稳健发展</w:t>
            </w:r>
          </w:p>
        </w:tc>
      </w:tr>
      <w:tr w:rsidR="00BF55D0" w:rsidTr="00E402FB">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5D0" w:rsidRDefault="00BF55D0" w:rsidP="00E402FB">
            <w:pPr>
              <w:widowControl/>
              <w:jc w:val="left"/>
              <w:rPr>
                <w:rFonts w:ascii="仿宋_GB2312" w:eastAsia="仿宋_GB2312" w:cs="Times New Roman"/>
                <w:szCs w:val="21"/>
              </w:rPr>
            </w:pPr>
          </w:p>
        </w:tc>
        <w:tc>
          <w:tcPr>
            <w:tcW w:w="2410"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proofErr w:type="gramStart"/>
            <w:r>
              <w:rPr>
                <w:rFonts w:ascii="仿宋_GB2312" w:eastAsia="仿宋_GB2312" w:hint="eastAsia"/>
                <w:bCs/>
                <w:szCs w:val="21"/>
              </w:rPr>
              <w:t>平衡成长</w:t>
            </w:r>
            <w:proofErr w:type="gramEnd"/>
          </w:p>
        </w:tc>
      </w:tr>
      <w:tr w:rsidR="00BF55D0" w:rsidTr="00E402FB">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5D0" w:rsidRDefault="00BF55D0" w:rsidP="00E402FB">
            <w:pPr>
              <w:widowControl/>
              <w:jc w:val="left"/>
              <w:rPr>
                <w:rFonts w:ascii="仿宋_GB2312" w:eastAsia="仿宋_GB2312" w:cs="Times New Roman"/>
                <w:szCs w:val="21"/>
              </w:rPr>
            </w:pPr>
          </w:p>
        </w:tc>
        <w:tc>
          <w:tcPr>
            <w:tcW w:w="2410"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int="eastAsia"/>
                <w:bCs/>
                <w:szCs w:val="21"/>
              </w:rPr>
              <w:t>积极进取</w:t>
            </w:r>
          </w:p>
        </w:tc>
      </w:tr>
      <w:tr w:rsidR="00BF55D0" w:rsidTr="00E402FB">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5D0" w:rsidRDefault="00BF55D0" w:rsidP="00E402FB">
            <w:pPr>
              <w:widowControl/>
              <w:jc w:val="left"/>
              <w:rPr>
                <w:rFonts w:ascii="仿宋_GB2312" w:eastAsia="仿宋_GB2312" w:cs="Times New Roman"/>
                <w:szCs w:val="21"/>
              </w:rPr>
            </w:pPr>
          </w:p>
        </w:tc>
        <w:tc>
          <w:tcPr>
            <w:tcW w:w="2410"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BF55D0" w:rsidRDefault="00BF55D0" w:rsidP="00E402FB">
            <w:pPr>
              <w:rPr>
                <w:rFonts w:ascii="仿宋_GB2312" w:eastAsia="仿宋_GB2312" w:cs="Times New Roman"/>
                <w:szCs w:val="21"/>
              </w:rPr>
            </w:pPr>
            <w:r>
              <w:rPr>
                <w:rFonts w:ascii="仿宋_GB2312" w:eastAsia="仿宋_GB2312" w:hint="eastAsia"/>
                <w:bCs/>
                <w:szCs w:val="21"/>
              </w:rPr>
              <w:t>风险承受</w:t>
            </w:r>
          </w:p>
        </w:tc>
      </w:tr>
    </w:tbl>
    <w:p w:rsidR="00BF55D0" w:rsidRDefault="00BF55D0" w:rsidP="00BF55D0">
      <w:pPr>
        <w:spacing w:line="500" w:lineRule="exact"/>
        <w:rPr>
          <w:rFonts w:ascii="仿宋_GB2312" w:eastAsia="仿宋_GB2312" w:hAnsi="Calibri" w:cs="Times New Roman"/>
          <w:b/>
          <w:sz w:val="24"/>
        </w:rPr>
      </w:pPr>
    </w:p>
    <w:p w:rsidR="00BF55D0" w:rsidRDefault="00BF55D0" w:rsidP="00BF55D0">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BF55D0" w:rsidRDefault="00BF55D0" w:rsidP="00BF55D0">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BF55D0" w:rsidRDefault="00BF55D0" w:rsidP="00BF55D0">
      <w:pPr>
        <w:spacing w:line="500" w:lineRule="exact"/>
        <w:rPr>
          <w:rFonts w:ascii="仿宋_GB2312" w:eastAsia="仿宋_GB2312"/>
          <w:b/>
          <w:sz w:val="28"/>
          <w:szCs w:val="28"/>
          <w:u w:val="single"/>
        </w:rPr>
      </w:pPr>
    </w:p>
    <w:p w:rsidR="00BF55D0" w:rsidRDefault="00BF55D0" w:rsidP="00BF55D0">
      <w:pPr>
        <w:spacing w:line="500" w:lineRule="exact"/>
        <w:rPr>
          <w:rFonts w:ascii="仿宋_GB2312" w:eastAsia="仿宋_GB2312"/>
          <w:b/>
          <w:sz w:val="28"/>
          <w:szCs w:val="28"/>
          <w:u w:val="single"/>
        </w:rPr>
      </w:pPr>
    </w:p>
    <w:p w:rsidR="00BF55D0" w:rsidRDefault="00BF55D0" w:rsidP="00BF55D0">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BF55D0" w:rsidRDefault="00BF55D0" w:rsidP="00BF55D0">
      <w:pPr>
        <w:spacing w:line="500" w:lineRule="exact"/>
        <w:ind w:firstLineChars="200" w:firstLine="562"/>
        <w:jc w:val="center"/>
        <w:rPr>
          <w:rFonts w:ascii="仿宋_GB2312" w:eastAsia="仿宋_GB2312"/>
          <w:b/>
          <w:sz w:val="28"/>
          <w:szCs w:val="28"/>
          <w:u w:val="single"/>
        </w:rPr>
      </w:pPr>
    </w:p>
    <w:p w:rsidR="00BF55D0" w:rsidRDefault="00BF55D0" w:rsidP="00BF55D0">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BF55D0" w:rsidRDefault="00BF55D0" w:rsidP="00BF55D0">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BF55D0" w:rsidRDefault="00BF55D0" w:rsidP="00BF55D0">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BF55D0" w:rsidRDefault="00BF55D0" w:rsidP="00BF55D0">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BF55D0" w:rsidRDefault="00BF55D0" w:rsidP="00BF55D0">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BF55D0" w:rsidRDefault="00BF55D0" w:rsidP="00BF55D0">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BF55D0" w:rsidRDefault="00BF55D0" w:rsidP="00BF55D0">
      <w:pPr>
        <w:spacing w:line="500" w:lineRule="exact"/>
        <w:ind w:right="120" w:firstLineChars="200" w:firstLine="480"/>
        <w:jc w:val="right"/>
        <w:rPr>
          <w:rFonts w:ascii="仿宋_GB2312" w:eastAsia="仿宋_GB2312"/>
          <w:sz w:val="24"/>
        </w:rPr>
      </w:pPr>
    </w:p>
    <w:p w:rsidR="00BF55D0" w:rsidRDefault="00BF55D0" w:rsidP="00BF55D0">
      <w:pPr>
        <w:spacing w:line="500" w:lineRule="exact"/>
        <w:ind w:right="1080"/>
        <w:rPr>
          <w:rFonts w:ascii="仿宋_GB2312" w:eastAsia="仿宋_GB2312"/>
          <w:sz w:val="24"/>
        </w:rPr>
      </w:pPr>
    </w:p>
    <w:p w:rsidR="00BF55D0" w:rsidRDefault="00BF55D0" w:rsidP="00BF55D0">
      <w:pPr>
        <w:spacing w:line="500" w:lineRule="exact"/>
        <w:ind w:right="120" w:firstLineChars="200" w:firstLine="480"/>
        <w:jc w:val="right"/>
        <w:rPr>
          <w:rFonts w:ascii="仿宋_GB2312" w:eastAsia="仿宋_GB2312"/>
          <w:sz w:val="24"/>
        </w:rPr>
      </w:pPr>
    </w:p>
    <w:p w:rsidR="00BF55D0" w:rsidRDefault="00BF55D0" w:rsidP="00BF55D0">
      <w:pPr>
        <w:spacing w:line="500" w:lineRule="exact"/>
        <w:ind w:right="120" w:firstLineChars="200" w:firstLine="480"/>
        <w:jc w:val="right"/>
        <w:rPr>
          <w:rFonts w:ascii="仿宋_GB2312" w:eastAsia="仿宋_GB2312"/>
          <w:sz w:val="24"/>
        </w:rPr>
      </w:pPr>
    </w:p>
    <w:p w:rsidR="00BF55D0" w:rsidRDefault="00BF55D0" w:rsidP="00BF55D0">
      <w:pPr>
        <w:spacing w:line="500" w:lineRule="exact"/>
        <w:ind w:right="120" w:firstLineChars="200" w:firstLine="480"/>
        <w:jc w:val="right"/>
        <w:rPr>
          <w:rFonts w:ascii="仿宋_GB2312" w:eastAsia="仿宋_GB2312"/>
          <w:sz w:val="24"/>
        </w:rPr>
      </w:pPr>
    </w:p>
    <w:p w:rsidR="00BF55D0" w:rsidRDefault="00BF55D0" w:rsidP="00BF55D0">
      <w:pPr>
        <w:spacing w:line="500" w:lineRule="exact"/>
        <w:ind w:right="120" w:firstLineChars="200" w:firstLine="480"/>
        <w:jc w:val="right"/>
        <w:rPr>
          <w:rFonts w:ascii="仿宋_GB2312" w:eastAsia="仿宋_GB2312"/>
          <w:sz w:val="24"/>
        </w:rPr>
      </w:pPr>
    </w:p>
    <w:p w:rsidR="00BF55D0" w:rsidRDefault="00BF55D0" w:rsidP="00BF55D0">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天津农商银行2018年度</w:t>
      </w:r>
      <w:r>
        <w:rPr>
          <w:rFonts w:ascii="仿宋_GB2312" w:eastAsia="仿宋_GB2312" w:hAnsi="华文中宋" w:hint="eastAsia"/>
          <w:szCs w:val="21"/>
        </w:rPr>
        <w:t>“</w:t>
      </w:r>
      <w:r>
        <w:rPr>
          <w:rFonts w:ascii="仿宋_GB2312" w:eastAsia="仿宋_GB2312" w:hint="eastAsia"/>
          <w:b/>
          <w:sz w:val="28"/>
          <w:szCs w:val="28"/>
        </w:rPr>
        <w:t>吉祥-添金”系列</w:t>
      </w:r>
    </w:p>
    <w:p w:rsidR="00BF55D0" w:rsidRDefault="00BF55D0" w:rsidP="00BF55D0">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rFonts w:ascii="Calibri" w:eastAsia="宋体" w:hint="eastAsia"/>
          <w:noProof/>
        </w:rPr>
        <mc:AlternateContent>
          <mc:Choice Requires="wps">
            <w:drawing>
              <wp:anchor distT="0" distB="0" distL="114300" distR="114300" simplePos="0" relativeHeight="251660288" behindDoc="0" locked="0" layoutInCell="1" allowOverlap="1" wp14:anchorId="363A881A" wp14:editId="7E841BF7">
                <wp:simplePos x="0" y="0"/>
                <wp:positionH relativeFrom="column">
                  <wp:posOffset>-297180</wp:posOffset>
                </wp:positionH>
                <wp:positionV relativeFrom="paragraph">
                  <wp:posOffset>603250</wp:posOffset>
                </wp:positionV>
                <wp:extent cx="6018530" cy="3562350"/>
                <wp:effectExtent l="0" t="0" r="20320" b="1905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BF55D0" w:rsidRDefault="00BF55D0" w:rsidP="00BF55D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F55D0" w:rsidRDefault="00BF55D0" w:rsidP="00BF55D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BF55D0" w:rsidRDefault="00BF55D0" w:rsidP="00BF55D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F55D0" w:rsidRDefault="00BF55D0" w:rsidP="00BF55D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BF55D0" w:rsidRDefault="00BF55D0" w:rsidP="00BF55D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BF55D0" w:rsidRDefault="00BF55D0" w:rsidP="00BF55D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BF55D0" w:rsidRDefault="00BF55D0" w:rsidP="00BF55D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F55D0" w:rsidRDefault="00BF55D0" w:rsidP="00BF55D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BF55D0" w:rsidRDefault="00BF55D0" w:rsidP="00BF55D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F55D0" w:rsidRDefault="00BF55D0" w:rsidP="00BF55D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BF55D0" w:rsidRDefault="00BF55D0" w:rsidP="00BF55D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BF55D0" w:rsidRDefault="00BF55D0" w:rsidP="00BF55D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BF55D0" w:rsidRDefault="00BF55D0" w:rsidP="00BF55D0">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BF55D0" w:rsidTr="00E402FB">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55D0" w:rsidRDefault="00BF55D0" w:rsidP="00E402FB">
            <w:pPr>
              <w:ind w:firstLineChars="200" w:firstLine="420"/>
              <w:rPr>
                <w:rFonts w:ascii="仿宋_GB2312" w:eastAsia="仿宋_GB2312" w:cs="Times New Roman"/>
                <w:szCs w:val="21"/>
              </w:rPr>
            </w:pPr>
            <w:r>
              <w:rPr>
                <w:rFonts w:ascii="仿宋_GB2312" w:eastAsia="仿宋_GB2312" w:hAnsi="华文中宋" w:hint="eastAsia"/>
                <w:szCs w:val="21"/>
              </w:rPr>
              <w:t>“</w:t>
            </w:r>
            <w:r>
              <w:rPr>
                <w:rFonts w:ascii="仿宋_GB2312" w:eastAsia="仿宋_GB2312" w:hint="eastAsia"/>
                <w:szCs w:val="21"/>
              </w:rPr>
              <w:t>吉祥-添金”第1862期人民币理财产品；</w:t>
            </w:r>
          </w:p>
        </w:tc>
      </w:tr>
      <w:tr w:rsidR="00BF55D0" w:rsidTr="00E402FB">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5D0" w:rsidRDefault="00BF55D0" w:rsidP="00E402FB">
            <w:pPr>
              <w:widowControl/>
              <w:jc w:val="left"/>
              <w:rPr>
                <w:rFonts w:ascii="仿宋_GB2312" w:eastAsia="仿宋_GB2312" w:cs="Times New Roman"/>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55D0" w:rsidRDefault="00BF55D0" w:rsidP="00E402FB">
            <w:pPr>
              <w:ind w:firstLineChars="200" w:firstLine="420"/>
              <w:jc w:val="left"/>
              <w:rPr>
                <w:rFonts w:ascii="仿宋_GB2312" w:eastAsia="仿宋_GB2312" w:cs="Times New Roman"/>
                <w:szCs w:val="21"/>
              </w:rPr>
            </w:pPr>
            <w:r>
              <w:rPr>
                <w:rFonts w:ascii="仿宋_GB2312" w:eastAsia="仿宋_GB2312" w:hint="eastAsia"/>
                <w:szCs w:val="21"/>
              </w:rPr>
              <w:t>代码：JX-TJ1862</w:t>
            </w:r>
          </w:p>
        </w:tc>
      </w:tr>
      <w:tr w:rsidR="00BF55D0" w:rsidTr="00E402FB">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5D0" w:rsidRDefault="00BF55D0" w:rsidP="00E402FB">
            <w:pPr>
              <w:widowControl/>
              <w:jc w:val="left"/>
              <w:rPr>
                <w:rFonts w:ascii="仿宋_GB2312" w:eastAsia="仿宋_GB2312" w:cs="Times New Roman"/>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55D0" w:rsidRDefault="00BF55D0" w:rsidP="00E402FB">
            <w:pPr>
              <w:ind w:firstLineChars="200" w:firstLine="420"/>
              <w:jc w:val="left"/>
              <w:rPr>
                <w:rFonts w:ascii="仿宋_GB2312" w:eastAsia="仿宋_GB2312" w:cs="Times New Roman"/>
                <w:szCs w:val="21"/>
              </w:rPr>
            </w:pPr>
            <w:r>
              <w:rPr>
                <w:rFonts w:ascii="仿宋_GB2312" w:eastAsia="仿宋_GB2312" w:hint="eastAsia"/>
                <w:szCs w:val="21"/>
              </w:rPr>
              <w:t>全国银行业理财信息登记编码：</w:t>
            </w:r>
            <w:r w:rsidRPr="008545A9">
              <w:rPr>
                <w:rFonts w:ascii="仿宋_GB2312" w:eastAsia="仿宋_GB2312"/>
                <w:szCs w:val="21"/>
              </w:rPr>
              <w:t>C1104418000223</w:t>
            </w:r>
          </w:p>
        </w:tc>
      </w:tr>
      <w:tr w:rsidR="00BF55D0" w:rsidTr="00E402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ind w:firstLineChars="200" w:firstLine="420"/>
              <w:rPr>
                <w:rFonts w:ascii="仿宋_GB2312" w:eastAsia="仿宋_GB2312" w:hAnsi="Calibri" w:cs="Times New Roman"/>
                <w:szCs w:val="21"/>
              </w:rPr>
            </w:pPr>
            <w:r>
              <w:rPr>
                <w:rFonts w:ascii="仿宋_GB2312" w:eastAsia="仿宋_GB2312" w:hint="eastAsia"/>
                <w:szCs w:val="21"/>
              </w:rPr>
              <w:t>经天津农商银行投资者风险承受能力评估：</w:t>
            </w:r>
          </w:p>
          <w:p w:rsidR="00BF55D0" w:rsidRDefault="00BF55D0" w:rsidP="00E402FB">
            <w:pPr>
              <w:ind w:firstLineChars="200" w:firstLine="420"/>
              <w:rPr>
                <w:rFonts w:ascii="仿宋_GB2312" w:eastAsia="仿宋_GB2312" w:cs="Times New Roman"/>
                <w:szCs w:val="21"/>
              </w:rPr>
            </w:pPr>
            <w:r>
              <w:rPr>
                <w:rFonts w:ascii="仿宋_GB2312" w:eastAsia="仿宋_GB2312" w:hint="eastAsia"/>
                <w:szCs w:val="21"/>
              </w:rPr>
              <w:t>“吉祥-添金”系列人民币理财产品适合投资者类型为稳健型、平衡型、成长型、进取型的个人投资者；</w:t>
            </w:r>
          </w:p>
        </w:tc>
      </w:tr>
      <w:tr w:rsidR="00BF55D0" w:rsidTr="00E402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ind w:firstLineChars="200" w:firstLine="420"/>
              <w:rPr>
                <w:rFonts w:ascii="仿宋_GB2312" w:eastAsia="仿宋_GB2312" w:hAnsi="Calibri" w:cs="Times New Roman"/>
                <w:szCs w:val="21"/>
              </w:rPr>
            </w:pPr>
            <w:r>
              <w:rPr>
                <w:rFonts w:ascii="仿宋_GB2312" w:eastAsia="仿宋_GB2312" w:hint="eastAsia"/>
                <w:szCs w:val="21"/>
              </w:rPr>
              <w:t>238天</w:t>
            </w:r>
          </w:p>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BF55D0" w:rsidTr="00E402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人民币</w:t>
            </w:r>
          </w:p>
        </w:tc>
      </w:tr>
      <w:tr w:rsidR="00BF55D0" w:rsidTr="00E402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“吉祥-添金”系列理财产品为非保本浮动收益型理财产品；</w:t>
            </w:r>
          </w:p>
        </w:tc>
      </w:tr>
      <w:tr w:rsidR="00BF55D0" w:rsidTr="00E402FB">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“吉祥-添金”系列理财产品为较低风险产品；</w:t>
            </w:r>
          </w:p>
        </w:tc>
      </w:tr>
      <w:tr w:rsidR="00BF55D0" w:rsidTr="00E402FB">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5亿元</w:t>
            </w:r>
          </w:p>
        </w:tc>
      </w:tr>
      <w:tr w:rsidR="00BF55D0" w:rsidTr="00E402FB">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2018年07月31日-2018年08月06日</w:t>
            </w:r>
          </w:p>
        </w:tc>
      </w:tr>
      <w:tr w:rsidR="00BF55D0" w:rsidTr="00E402FB">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lastRenderedPageBreak/>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460" w:lineRule="exact"/>
              <w:ind w:right="119" w:firstLineChars="200" w:firstLine="420"/>
              <w:rPr>
                <w:rFonts w:ascii="仿宋_GB2312" w:eastAsia="仿宋_GB2312" w:hAnsi="Calibri" w:cs="Times New Roman"/>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BF55D0" w:rsidRDefault="00BF55D0" w:rsidP="00E402FB">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BF55D0" w:rsidRDefault="00BF55D0" w:rsidP="00E402FB">
            <w:pPr>
              <w:spacing w:line="460" w:lineRule="exact"/>
              <w:ind w:right="119" w:firstLineChars="200" w:firstLine="420"/>
              <w:rPr>
                <w:rFonts w:ascii="仿宋_GB2312" w:eastAsia="仿宋_GB2312" w:cs="Times New Roman"/>
                <w:szCs w:val="21"/>
              </w:rPr>
            </w:pPr>
            <w:r>
              <w:rPr>
                <w:rFonts w:ascii="仿宋_GB2312" w:eastAsia="仿宋_GB2312" w:hint="eastAsia"/>
                <w:szCs w:val="21"/>
              </w:rPr>
              <w:t>如产品未达募集规模，银行有权宣布产品不成立，并于3个工作日内将产品本金退还至投资者指定账户。</w:t>
            </w:r>
          </w:p>
        </w:tc>
      </w:tr>
      <w:tr w:rsidR="00BF55D0" w:rsidTr="00E402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2018年08月07日</w:t>
            </w:r>
          </w:p>
        </w:tc>
      </w:tr>
      <w:tr w:rsidR="00BF55D0" w:rsidTr="00E402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2019年04月02日</w:t>
            </w:r>
          </w:p>
        </w:tc>
      </w:tr>
      <w:tr w:rsidR="00BF55D0" w:rsidTr="00E402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产品到期日后3个工作日内</w:t>
            </w:r>
          </w:p>
        </w:tc>
      </w:tr>
      <w:tr w:rsidR="00BF55D0" w:rsidTr="00E402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杭州银行或我行指定的其他托管人</w:t>
            </w:r>
          </w:p>
        </w:tc>
      </w:tr>
      <w:tr w:rsidR="00BF55D0" w:rsidTr="00E402FB">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hAnsi="Calibri" w:cs="Times New Roman"/>
                <w:szCs w:val="21"/>
              </w:rPr>
            </w:pPr>
            <w:proofErr w:type="gramStart"/>
            <w:r>
              <w:rPr>
                <w:rFonts w:ascii="仿宋_GB2312" w:eastAsia="仿宋_GB2312" w:hint="eastAsia"/>
                <w:szCs w:val="21"/>
              </w:rPr>
              <w:t>客户年化收益率</w:t>
            </w:r>
            <w:proofErr w:type="gramEnd"/>
          </w:p>
          <w:p w:rsidR="00BF55D0" w:rsidRDefault="00BF55D0" w:rsidP="00E402FB">
            <w:pPr>
              <w:spacing w:line="500" w:lineRule="exact"/>
              <w:ind w:right="120" w:firstLineChars="100" w:firstLine="210"/>
              <w:rPr>
                <w:rFonts w:ascii="仿宋_GB2312" w:eastAsia="仿宋_GB2312" w:cs="Times New Roman"/>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F55D0" w:rsidRDefault="00BF55D0" w:rsidP="00E402FB">
            <w:pPr>
              <w:spacing w:line="500" w:lineRule="exact"/>
              <w:ind w:right="120" w:firstLineChars="200" w:firstLine="420"/>
              <w:rPr>
                <w:rFonts w:ascii="仿宋_GB2312" w:eastAsia="仿宋_GB2312" w:hAnsi="Calibri" w:cs="Times New Roman"/>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5.35%</w:t>
            </w:r>
            <w:r>
              <w:rPr>
                <w:rFonts w:ascii="仿宋_GB2312" w:eastAsia="仿宋_GB2312" w:hint="eastAsia"/>
                <w:szCs w:val="21"/>
              </w:rPr>
              <w:t>；</w:t>
            </w:r>
          </w:p>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（预测收益不等于实际收益，投资须谨慎）</w:t>
            </w:r>
          </w:p>
        </w:tc>
      </w:tr>
      <w:tr w:rsidR="00BF55D0" w:rsidTr="00E402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55D0" w:rsidRDefault="00BF55D0" w:rsidP="00E402FB">
            <w:pPr>
              <w:spacing w:line="500" w:lineRule="exact"/>
              <w:ind w:right="120" w:firstLineChars="200" w:firstLine="420"/>
              <w:jc w:val="left"/>
              <w:rPr>
                <w:rFonts w:ascii="仿宋_GB2312" w:eastAsia="仿宋_GB2312" w:cs="Times New Roman"/>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本理财产品托管费用0.2‰，扣除上述费用，若产品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BF55D0" w:rsidTr="00E402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最低5万元，以0.1万元（1000元）整数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BF55D0" w:rsidTr="00E402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BF55D0" w:rsidTr="00E402FB">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55D0" w:rsidRDefault="00BF55D0" w:rsidP="00E402FB">
            <w:pPr>
              <w:spacing w:line="500" w:lineRule="exact"/>
              <w:ind w:right="120"/>
              <w:rPr>
                <w:rFonts w:ascii="仿宋_GB2312" w:eastAsia="仿宋_GB2312" w:cs="Times New Roman"/>
                <w:szCs w:val="21"/>
              </w:rPr>
            </w:pPr>
            <w:r>
              <w:rPr>
                <w:rFonts w:ascii="仿宋_GB2312" w:eastAsia="仿宋_GB2312" w:hint="eastAsia"/>
                <w:szCs w:val="21"/>
              </w:rPr>
              <w:t>投资者收益＝投资本金×产品分配收益率×实际理财天数/365</w:t>
            </w:r>
          </w:p>
        </w:tc>
      </w:tr>
      <w:tr w:rsidR="00BF55D0" w:rsidTr="00E402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hAnsi="Calibri" w:cs="Times New Roman"/>
                <w:szCs w:val="21"/>
              </w:rPr>
            </w:pPr>
            <w:r>
              <w:rPr>
                <w:rFonts w:ascii="仿宋_GB2312" w:eastAsia="仿宋_GB2312" w:hint="eastAsia"/>
                <w:szCs w:val="21"/>
              </w:rPr>
              <w:t>本理财产品到期后一次性归还本金、支付收益，并于产品到期日</w:t>
            </w:r>
          </w:p>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BF55D0" w:rsidTr="00E402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理财收益的应纳税款由投资者自行申报及缴纳</w:t>
            </w:r>
          </w:p>
        </w:tc>
      </w:tr>
      <w:tr w:rsidR="00BF55D0" w:rsidTr="00E402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本理财产品在存续期间不开放申购与赎回</w:t>
            </w:r>
          </w:p>
        </w:tc>
      </w:tr>
      <w:tr w:rsidR="00BF55D0" w:rsidTr="00E402F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本理财产品可质押</w:t>
            </w:r>
          </w:p>
        </w:tc>
      </w:tr>
      <w:tr w:rsidR="00BF55D0" w:rsidTr="00E402FB">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lastRenderedPageBreak/>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国家法定工作日</w:t>
            </w:r>
          </w:p>
        </w:tc>
      </w:tr>
      <w:tr w:rsidR="00BF55D0" w:rsidTr="00E402FB">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F55D0" w:rsidRDefault="00BF55D0" w:rsidP="00E402FB">
            <w:pPr>
              <w:spacing w:line="500" w:lineRule="exact"/>
              <w:ind w:right="120" w:firstLineChars="200" w:firstLine="420"/>
              <w:rPr>
                <w:rFonts w:ascii="仿宋_GB2312" w:eastAsia="仿宋_GB2312" w:hAnsi="Calibri" w:cs="Times New Roman"/>
                <w:szCs w:val="21"/>
              </w:rPr>
            </w:pPr>
            <w:r>
              <w:rPr>
                <w:rFonts w:ascii="仿宋_GB2312" w:eastAsia="仿宋_GB2312" w:hint="eastAsia"/>
                <w:szCs w:val="21"/>
              </w:rPr>
              <w:t>认购金额在募集期内按银行活期存款利率计息；募集期内的利息</w:t>
            </w:r>
          </w:p>
          <w:p w:rsidR="00BF55D0" w:rsidRDefault="00BF55D0" w:rsidP="00E402FB">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BF55D0" w:rsidRDefault="00BF55D0" w:rsidP="00E402FB">
            <w:pPr>
              <w:spacing w:line="500" w:lineRule="exact"/>
              <w:ind w:right="120" w:firstLineChars="200" w:firstLine="420"/>
              <w:rPr>
                <w:rFonts w:ascii="仿宋_GB2312" w:eastAsia="仿宋_GB2312" w:cs="Times New Roman"/>
                <w:szCs w:val="21"/>
              </w:rPr>
            </w:pPr>
            <w:r>
              <w:rPr>
                <w:rFonts w:ascii="仿宋_GB2312" w:eastAsia="仿宋_GB2312" w:hint="eastAsia"/>
                <w:szCs w:val="21"/>
              </w:rPr>
              <w:t xml:space="preserve">计息；产品到期日至投资者资金到账日期间不计息。 </w:t>
            </w:r>
          </w:p>
        </w:tc>
      </w:tr>
    </w:tbl>
    <w:p w:rsidR="00BF55D0" w:rsidRDefault="00BF55D0" w:rsidP="00BF55D0">
      <w:pPr>
        <w:spacing w:line="500" w:lineRule="exact"/>
        <w:ind w:right="120" w:firstLineChars="200" w:firstLine="480"/>
        <w:rPr>
          <w:rFonts w:ascii="仿宋_GB2312" w:eastAsia="仿宋_GB2312" w:hAnsi="Calibri" w:cs="Times New Roman"/>
          <w:bCs/>
          <w:sz w:val="24"/>
        </w:rPr>
      </w:pPr>
      <w:r>
        <w:rPr>
          <w:rFonts w:ascii="仿宋_GB2312" w:eastAsia="仿宋_GB2312" w:hint="eastAsia"/>
          <w:bCs/>
          <w:sz w:val="24"/>
        </w:rPr>
        <w:t>二、投资对象</w:t>
      </w:r>
    </w:p>
    <w:p w:rsidR="00BF55D0" w:rsidRDefault="00BF55D0" w:rsidP="00BF55D0">
      <w:pPr>
        <w:spacing w:line="580" w:lineRule="exact"/>
        <w:ind w:firstLineChars="200" w:firstLine="480"/>
        <w:rPr>
          <w:rFonts w:ascii="仿宋_GB2312" w:eastAsia="仿宋_GB2312"/>
          <w:bCs/>
          <w:iCs/>
          <w:sz w:val="24"/>
        </w:rPr>
      </w:pPr>
      <w:r>
        <w:rPr>
          <w:rFonts w:ascii="仿宋_GB2312" w:eastAsia="仿宋_GB2312" w:hint="eastAsia"/>
          <w:bCs/>
          <w:iCs/>
          <w:sz w:val="24"/>
        </w:rPr>
        <w:t>“吉祥-添金”系列理财产品主要投资于交易所/银行间上市交易的国债、金融债、公司债、可转债、企业债券、短期融资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BF55D0" w:rsidRDefault="00BF55D0" w:rsidP="00BF55D0">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BF55D0" w:rsidRDefault="00BF55D0" w:rsidP="00BF55D0">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BF55D0" w:rsidRDefault="00BF55D0" w:rsidP="00BF55D0">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本理财产品托管费用0.2‰，扣除上述费用，若产品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BF55D0" w:rsidRDefault="00BF55D0" w:rsidP="00BF55D0">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BF55D0" w:rsidRDefault="00BF55D0" w:rsidP="00BF55D0">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为5.35%。 </w:t>
      </w:r>
    </w:p>
    <w:p w:rsidR="00BF55D0" w:rsidRDefault="00BF55D0" w:rsidP="00BF55D0">
      <w:pPr>
        <w:spacing w:line="500" w:lineRule="exact"/>
        <w:ind w:right="120" w:firstLineChars="200" w:firstLine="480"/>
        <w:rPr>
          <w:rFonts w:ascii="仿宋_GB2312" w:eastAsia="仿宋_GB2312"/>
          <w:sz w:val="24"/>
        </w:rPr>
      </w:pPr>
      <w:r>
        <w:rPr>
          <w:rFonts w:ascii="仿宋_GB2312" w:eastAsia="仿宋_GB2312" w:hint="eastAsia"/>
          <w:sz w:val="24"/>
        </w:rPr>
        <w:t xml:space="preserve">3、理财收益计算公式 </w:t>
      </w:r>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预期年化收益率</w:t>
      </w:r>
      <w:proofErr w:type="gramEnd"/>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lastRenderedPageBreak/>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以投资者认购238天理财产品金额为5万元为例，本理财产品正常到期，扣除管理费、托管费等相关费用后，假设产品分配收益率为5.35%，则理财收益为： </w:t>
      </w:r>
    </w:p>
    <w:bookmarkStart w:id="0" w:name="_MON_1594194278"/>
    <w:bookmarkStart w:id="1" w:name="_MON_1592987190"/>
    <w:bookmarkEnd w:id="0"/>
    <w:bookmarkEnd w:id="1"/>
    <w:bookmarkStart w:id="2" w:name="_MON_1591709788"/>
    <w:bookmarkEnd w:id="2"/>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Ansi="Calibri" w:cs="Times New Roman" w:hint="eastAsia"/>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594449357" r:id="rId9"/>
        </w:object>
      </w:r>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BF55D0" w:rsidRDefault="00BF55D0" w:rsidP="00BF55D0">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BF55D0" w:rsidRDefault="00BF55D0" w:rsidP="00BF55D0">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本理财产品为非保本浮动收益型，投资者可能主要面临以下风险：</w:t>
      </w:r>
    </w:p>
    <w:p w:rsidR="00BF55D0" w:rsidRDefault="00BF55D0" w:rsidP="00BF55D0">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BF55D0" w:rsidRDefault="00BF55D0" w:rsidP="00BF55D0">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吉祥-添金”系列理财产品收益随市场利率波动而调整，客户的收益可能因市场利率变化而相对降低。</w:t>
      </w:r>
    </w:p>
    <w:p w:rsidR="00BF55D0" w:rsidRDefault="00BF55D0" w:rsidP="00BF55D0">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BF55D0" w:rsidRDefault="00BF55D0" w:rsidP="00BF55D0">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BF55D0" w:rsidRDefault="00BF55D0" w:rsidP="00BF55D0">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F55D0" w:rsidRDefault="00BF55D0" w:rsidP="00BF55D0">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吉祥-添金”系列理财产品，我行有权宣布该产品不成立。</w:t>
      </w:r>
    </w:p>
    <w:p w:rsidR="00BF55D0" w:rsidRDefault="00BF55D0" w:rsidP="00BF55D0">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BF55D0" w:rsidRDefault="00BF55D0" w:rsidP="00BF55D0">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BF55D0" w:rsidRDefault="00BF55D0" w:rsidP="00BF55D0">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吉祥-添金”系列理财产品的受理、投资、偿还等的正常进行，甚至导致理财产品收益降低甚至收益为零。对于由不可抗力风险所导致的任何损失，由投资者自行承担，我行对此不承担任何责任。</w:t>
      </w:r>
    </w:p>
    <w:p w:rsidR="00BF55D0" w:rsidRDefault="00BF55D0" w:rsidP="00BF55D0">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吉祥-添金”系列理财本金可能会有部分或全部损失，理财产品收益率可能为零。</w:t>
      </w:r>
    </w:p>
    <w:p w:rsidR="00BF55D0" w:rsidRDefault="00BF55D0" w:rsidP="00BF55D0">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BF55D0" w:rsidRDefault="00BF55D0" w:rsidP="00BF55D0">
      <w:pPr>
        <w:spacing w:line="500" w:lineRule="exact"/>
        <w:ind w:right="120" w:firstLineChars="200" w:firstLine="480"/>
        <w:rPr>
          <w:rFonts w:ascii="仿宋_GB2312" w:eastAsia="仿宋_GB2312"/>
          <w:bCs/>
          <w:iCs/>
          <w:sz w:val="24"/>
        </w:rPr>
      </w:pPr>
      <w:r>
        <w:rPr>
          <w:rFonts w:ascii="仿宋_GB2312" w:eastAsia="仿宋_GB2312" w:hint="eastAsia"/>
          <w:bCs/>
          <w:iCs/>
          <w:sz w:val="24"/>
        </w:rPr>
        <w:lastRenderedPageBreak/>
        <w:t xml:space="preserve">5、上述披露的信息视为已送达投资者。         </w:t>
      </w:r>
    </w:p>
    <w:p w:rsidR="00BF55D0" w:rsidRDefault="00BF55D0" w:rsidP="00BF55D0">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BF55D0" w:rsidRDefault="00BF55D0" w:rsidP="00BF55D0">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BF55D0" w:rsidRDefault="00BF55D0" w:rsidP="00BF55D0">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BF55D0" w:rsidRDefault="00BF55D0" w:rsidP="00BF55D0">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BF55D0" w:rsidRDefault="00BF55D0" w:rsidP="00BF55D0">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BF55D0" w:rsidRDefault="00BF55D0" w:rsidP="00BF55D0">
      <w:pPr>
        <w:spacing w:line="500" w:lineRule="exact"/>
        <w:ind w:right="120" w:firstLineChars="200" w:firstLine="480"/>
        <w:rPr>
          <w:rFonts w:ascii="仿宋_GB2312" w:eastAsia="仿宋_GB2312"/>
          <w:bCs/>
          <w:sz w:val="24"/>
        </w:rPr>
      </w:pPr>
      <w:r>
        <w:rPr>
          <w:rFonts w:ascii="仿宋_GB2312" w:eastAsia="仿宋_GB2312" w:hint="eastAsia"/>
          <w:bCs/>
          <w:sz w:val="24"/>
        </w:rPr>
        <w:t>天津农商银行将恪守勤勉尽责的原则，合理配置资产组合，为投资者提供专业化的理财服务。</w:t>
      </w:r>
    </w:p>
    <w:p w:rsidR="00BF55D0" w:rsidRDefault="00BF55D0" w:rsidP="00BF55D0">
      <w:pPr>
        <w:rPr>
          <w:rFonts w:ascii="Calibri" w:eastAsia="宋体"/>
        </w:rPr>
      </w:pPr>
    </w:p>
    <w:p w:rsidR="00BF55D0" w:rsidRDefault="00BF55D0" w:rsidP="00BF55D0"/>
    <w:p w:rsidR="00BF55D0" w:rsidRDefault="00BF55D0" w:rsidP="00BF55D0"/>
    <w:p w:rsidR="00BF55D0" w:rsidRDefault="00BF55D0" w:rsidP="00BF55D0"/>
    <w:p w:rsidR="00BF55D0" w:rsidRDefault="00BF55D0" w:rsidP="00BF55D0"/>
    <w:p w:rsidR="00BF55D0" w:rsidRDefault="00BF55D0" w:rsidP="00BF55D0"/>
    <w:p w:rsidR="00BF55D0" w:rsidRDefault="00BF55D0" w:rsidP="00BF55D0"/>
    <w:p w:rsidR="00BF55D0" w:rsidRDefault="00BF55D0" w:rsidP="00BF55D0"/>
    <w:p w:rsidR="00BF55D0" w:rsidRDefault="00BF55D0" w:rsidP="00BF55D0"/>
    <w:p w:rsidR="00BF55D0" w:rsidRDefault="00BF55D0" w:rsidP="00BF55D0"/>
    <w:p w:rsidR="00BF55D0" w:rsidRDefault="00BF55D0" w:rsidP="00BF55D0"/>
    <w:p w:rsidR="00BF55D0" w:rsidRDefault="00BF55D0" w:rsidP="00BF55D0"/>
    <w:p w:rsidR="00BF55D0" w:rsidRDefault="00BF55D0" w:rsidP="00BF55D0"/>
    <w:p w:rsidR="00BF55D0" w:rsidRDefault="00BF55D0" w:rsidP="00BF55D0"/>
    <w:p w:rsidR="00BF55D0" w:rsidRDefault="00BF55D0" w:rsidP="00BF55D0"/>
    <w:p w:rsidR="00BF55D0" w:rsidRDefault="00BF55D0" w:rsidP="00BF55D0"/>
    <w:p w:rsidR="00BF55D0" w:rsidRDefault="00BF55D0" w:rsidP="00BF55D0"/>
    <w:p w:rsidR="00BF55D0" w:rsidRDefault="00BF55D0" w:rsidP="00BF55D0"/>
    <w:p w:rsidR="00FB5EFF" w:rsidRPr="00BF55D0" w:rsidRDefault="00FB5EFF"/>
    <w:sectPr w:rsidR="00FB5EFF" w:rsidRPr="00BF55D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4D" w:rsidRDefault="009D3F4D" w:rsidP="00BF55D0">
      <w:r>
        <w:separator/>
      </w:r>
    </w:p>
  </w:endnote>
  <w:endnote w:type="continuationSeparator" w:id="0">
    <w:p w:rsidR="009D3F4D" w:rsidRDefault="009D3F4D" w:rsidP="00BF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2" w:rsidRDefault="00AF0B4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642475"/>
      <w:docPartObj>
        <w:docPartGallery w:val="Page Numbers (Bottom of Page)"/>
        <w:docPartUnique/>
      </w:docPartObj>
    </w:sdtPr>
    <w:sdtContent>
      <w:sdt>
        <w:sdtPr>
          <w:id w:val="-1669238322"/>
          <w:docPartObj>
            <w:docPartGallery w:val="Page Numbers (Top of Page)"/>
            <w:docPartUnique/>
          </w:docPartObj>
        </w:sdtPr>
        <w:sdtContent>
          <w:bookmarkStart w:id="3" w:name="_GoBack" w:displacedByCustomXml="prev"/>
          <w:bookmarkEnd w:id="3" w:displacedByCustomXml="prev"/>
          <w:p w:rsidR="00AF0B42" w:rsidRDefault="00AF0B4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AF0B42" w:rsidRDefault="00AF0B4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2" w:rsidRDefault="00AF0B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4D" w:rsidRDefault="009D3F4D" w:rsidP="00BF55D0">
      <w:r>
        <w:separator/>
      </w:r>
    </w:p>
  </w:footnote>
  <w:footnote w:type="continuationSeparator" w:id="0">
    <w:p w:rsidR="009D3F4D" w:rsidRDefault="009D3F4D" w:rsidP="00BF5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2" w:rsidRDefault="00AF0B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2" w:rsidRDefault="00AF0B4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2" w:rsidRDefault="00AF0B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88"/>
        </w:tabs>
        <w:ind w:left="1288"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FE"/>
    <w:rsid w:val="003760F8"/>
    <w:rsid w:val="009D3F4D"/>
    <w:rsid w:val="00AF0B42"/>
    <w:rsid w:val="00BA4AFE"/>
    <w:rsid w:val="00BF55D0"/>
    <w:rsid w:val="00FB5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55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55D0"/>
    <w:rPr>
      <w:sz w:val="18"/>
      <w:szCs w:val="18"/>
    </w:rPr>
  </w:style>
  <w:style w:type="paragraph" w:styleId="a4">
    <w:name w:val="footer"/>
    <w:basedOn w:val="a"/>
    <w:link w:val="Char0"/>
    <w:uiPriority w:val="99"/>
    <w:unhideWhenUsed/>
    <w:rsid w:val="00BF55D0"/>
    <w:pPr>
      <w:tabs>
        <w:tab w:val="center" w:pos="4153"/>
        <w:tab w:val="right" w:pos="8306"/>
      </w:tabs>
      <w:snapToGrid w:val="0"/>
      <w:jc w:val="left"/>
    </w:pPr>
    <w:rPr>
      <w:sz w:val="18"/>
      <w:szCs w:val="18"/>
    </w:rPr>
  </w:style>
  <w:style w:type="character" w:customStyle="1" w:styleId="Char0">
    <w:name w:val="页脚 Char"/>
    <w:basedOn w:val="a0"/>
    <w:link w:val="a4"/>
    <w:uiPriority w:val="99"/>
    <w:rsid w:val="00BF55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55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55D0"/>
    <w:rPr>
      <w:sz w:val="18"/>
      <w:szCs w:val="18"/>
    </w:rPr>
  </w:style>
  <w:style w:type="paragraph" w:styleId="a4">
    <w:name w:val="footer"/>
    <w:basedOn w:val="a"/>
    <w:link w:val="Char0"/>
    <w:uiPriority w:val="99"/>
    <w:unhideWhenUsed/>
    <w:rsid w:val="00BF55D0"/>
    <w:pPr>
      <w:tabs>
        <w:tab w:val="center" w:pos="4153"/>
        <w:tab w:val="right" w:pos="8306"/>
      </w:tabs>
      <w:snapToGrid w:val="0"/>
      <w:jc w:val="left"/>
    </w:pPr>
    <w:rPr>
      <w:sz w:val="18"/>
      <w:szCs w:val="18"/>
    </w:rPr>
  </w:style>
  <w:style w:type="character" w:customStyle="1" w:styleId="Char0">
    <w:name w:val="页脚 Char"/>
    <w:basedOn w:val="a0"/>
    <w:link w:val="a4"/>
    <w:uiPriority w:val="99"/>
    <w:rsid w:val="00BF55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1183</Words>
  <Characters>6745</Characters>
  <Application>Microsoft Office Word</Application>
  <DocSecurity>0</DocSecurity>
  <Lines>56</Lines>
  <Paragraphs>15</Paragraphs>
  <ScaleCrop>false</ScaleCrop>
  <Company>TRCBANK</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2018-07-27T07:42:00Z</dcterms:created>
  <dcterms:modified xsi:type="dcterms:W3CDTF">2018-07-30T01:50:00Z</dcterms:modified>
</cp:coreProperties>
</file>