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13F" w:rsidRDefault="00CE313F" w:rsidP="00CE313F">
      <w:pPr>
        <w:widowControl/>
        <w:jc w:val="center"/>
        <w:rPr>
          <w:rFonts w:ascii="仿宋_GB2312" w:eastAsia="仿宋_GB2312"/>
          <w:b/>
          <w:sz w:val="28"/>
          <w:szCs w:val="28"/>
        </w:rPr>
      </w:pPr>
      <w:r>
        <w:rPr>
          <w:rFonts w:ascii="仿宋_GB2312" w:eastAsia="仿宋_GB2312" w:hint="eastAsia"/>
          <w:b/>
          <w:sz w:val="28"/>
          <w:szCs w:val="28"/>
        </w:rPr>
        <w:t>天津农商银行“吉享人生”系列净值型人民币理财产品</w:t>
      </w:r>
    </w:p>
    <w:p w:rsidR="00CE313F" w:rsidRDefault="00CE313F" w:rsidP="00CE313F">
      <w:pPr>
        <w:widowControl/>
        <w:jc w:val="center"/>
        <w:rPr>
          <w:rFonts w:ascii="宋体" w:hAnsi="宋体" w:cs="宋体"/>
          <w:kern w:val="0"/>
          <w:sz w:val="24"/>
          <w:szCs w:val="24"/>
        </w:rPr>
      </w:pPr>
      <w:r>
        <w:rPr>
          <w:rFonts w:ascii="仿宋_GB2312" w:eastAsia="仿宋_GB2312" w:hint="eastAsia"/>
          <w:b/>
          <w:sz w:val="28"/>
          <w:szCs w:val="28"/>
        </w:rPr>
        <w:t>客户权益须知</w:t>
      </w:r>
    </w:p>
    <w:p w:rsidR="00CE313F" w:rsidRDefault="00CE313F" w:rsidP="00CE313F">
      <w:pPr>
        <w:rPr>
          <w:rFonts w:ascii="仿宋_GB2312" w:eastAsia="仿宋_GB2312"/>
          <w:sz w:val="24"/>
          <w:szCs w:val="24"/>
        </w:rPr>
      </w:pPr>
      <w:r>
        <w:rPr>
          <w:rFonts w:ascii="仿宋_GB2312" w:eastAsia="仿宋_GB2312" w:hint="eastAsia"/>
          <w:sz w:val="24"/>
          <w:szCs w:val="24"/>
        </w:rPr>
        <w:t>尊敬的理财客户：</w:t>
      </w:r>
    </w:p>
    <w:p w:rsidR="00CE313F" w:rsidRDefault="00CE313F" w:rsidP="00CE313F">
      <w:pPr>
        <w:rPr>
          <w:rFonts w:ascii="仿宋_GB2312" w:eastAsia="仿宋_GB2312"/>
          <w:sz w:val="24"/>
          <w:szCs w:val="24"/>
        </w:rPr>
      </w:pP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理财产品投资在获取收益的同时存在投资风险，为了保护您的合法权益，请在投资理财产品之前认真阅读以下内容：</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一、理财产品购买流程</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个人理财业务人员应该详细向客户解释理财产品的风险收益条款、投资方向和方式以及客户所做出的委托和授权的内容和期限，详细揭示理财产品风险。客户需做完《天津农村商业银行股份有限公司人民币理财客户风险评估问卷》之后，选择与自身风险承受能力相匹配的理财产品，仔细阅读并自主决策签署《天津农商银行个人人民币理财产品协议书》及对应理财产品的产品说明书。由天津农商银行业务人员按照业务流程办理具体认购手续。</w:t>
      </w:r>
    </w:p>
    <w:p w:rsidR="00CE313F" w:rsidRDefault="00CE313F" w:rsidP="00CE313F">
      <w:pPr>
        <w:ind w:firstLine="480"/>
        <w:rPr>
          <w:rFonts w:ascii="仿宋_GB2312" w:eastAsia="仿宋_GB2312"/>
          <w:sz w:val="24"/>
          <w:szCs w:val="24"/>
        </w:rPr>
      </w:pPr>
      <w:r>
        <w:rPr>
          <w:rFonts w:ascii="仿宋_GB2312" w:eastAsia="仿宋_GB2312" w:hint="eastAsia"/>
          <w:sz w:val="24"/>
          <w:szCs w:val="24"/>
        </w:rPr>
        <w:t>二、客户风险承受能力评估</w:t>
      </w:r>
    </w:p>
    <w:p w:rsidR="00CE313F" w:rsidRDefault="00CE313F" w:rsidP="00CE313F">
      <w:pPr>
        <w:ind w:firstLine="480"/>
        <w:rPr>
          <w:rFonts w:ascii="仿宋_GB2312" w:eastAsia="仿宋_GB2312"/>
          <w:sz w:val="24"/>
          <w:szCs w:val="24"/>
        </w:rPr>
      </w:pPr>
      <w:r>
        <w:rPr>
          <w:rFonts w:ascii="仿宋_GB2312" w:eastAsia="仿宋_GB2312" w:hint="eastAsia"/>
          <w:sz w:val="24"/>
          <w:szCs w:val="24"/>
        </w:rPr>
        <w:t>客户在购买理财产品前，需本人填写《天津农村商业银行股份有限公司人民币理财客户风险评估问卷》，评估结束后天津农商银行个人理财业务人员将评估意见告知客户，由客户签字确认。客户的风险承受能力分为5 级，由低至高分别为保守型、稳健型、平衡型、成长型、进取型，客户应购买与本人风险级别相匹配的产品。如果根据评估结果该客户系不适合购买某类产品，个人理财业务人员需明确告知客户不予销售的原因及理由。</w:t>
      </w:r>
    </w:p>
    <w:p w:rsidR="00CE313F" w:rsidRDefault="00CE313F" w:rsidP="00CE313F">
      <w:pPr>
        <w:ind w:firstLine="480"/>
        <w:rPr>
          <w:rFonts w:ascii="仿宋_GB2312" w:eastAsia="仿宋_GB2312"/>
          <w:sz w:val="24"/>
          <w:szCs w:val="24"/>
        </w:rPr>
      </w:pPr>
      <w:r>
        <w:rPr>
          <w:rFonts w:ascii="仿宋_GB2312" w:eastAsia="仿宋_GB2312" w:hint="eastAsia"/>
          <w:sz w:val="24"/>
          <w:szCs w:val="24"/>
        </w:rPr>
        <w:t>三、信息公告</w:t>
      </w:r>
    </w:p>
    <w:p w:rsidR="00CE313F" w:rsidRDefault="00CE313F" w:rsidP="00CE313F">
      <w:pPr>
        <w:ind w:firstLine="480"/>
        <w:rPr>
          <w:rFonts w:ascii="仿宋_GB2312" w:eastAsia="仿宋_GB2312"/>
          <w:sz w:val="24"/>
          <w:szCs w:val="24"/>
        </w:rPr>
      </w:pPr>
      <w:r>
        <w:rPr>
          <w:rFonts w:ascii="仿宋_GB2312" w:eastAsia="仿宋_GB2312" w:hint="eastAsia"/>
          <w:sz w:val="24"/>
          <w:szCs w:val="24"/>
        </w:rPr>
        <w:t>天津农商银行将于理财产品存续期间和到期日，在天津农商银行网站（www.trcbank.com.cn）发布相关信息公告。客户可通过天津农商银行网站、客服热线“96155”或天津农商银行各营业网点查询相关信息。如有其他天津农商银行认为对理财产品本金及理财收益有重大影响而公布的重要信息，将在天津农商银行网站（www.trcbank.com.cn）发布相关信息公告。</w:t>
      </w:r>
    </w:p>
    <w:p w:rsidR="00CE313F" w:rsidRDefault="00CE313F" w:rsidP="00CE313F">
      <w:pPr>
        <w:ind w:firstLine="480"/>
        <w:rPr>
          <w:rFonts w:ascii="仿宋_GB2312" w:eastAsia="仿宋_GB2312"/>
          <w:sz w:val="24"/>
          <w:szCs w:val="24"/>
        </w:rPr>
      </w:pPr>
      <w:r>
        <w:rPr>
          <w:rFonts w:ascii="仿宋_GB2312" w:eastAsia="仿宋_GB2312" w:hint="eastAsia"/>
          <w:sz w:val="24"/>
          <w:szCs w:val="24"/>
        </w:rPr>
        <w:t>四、投诉及建议</w:t>
      </w:r>
    </w:p>
    <w:p w:rsidR="00CE313F" w:rsidRDefault="00CE313F" w:rsidP="00CE313F">
      <w:pPr>
        <w:ind w:firstLine="480"/>
        <w:rPr>
          <w:rFonts w:ascii="仿宋_GB2312" w:eastAsia="仿宋_GB2312"/>
          <w:sz w:val="24"/>
          <w:szCs w:val="24"/>
        </w:rPr>
      </w:pPr>
      <w:r>
        <w:rPr>
          <w:rFonts w:ascii="仿宋_GB2312" w:eastAsia="仿宋_GB2312" w:hint="eastAsia"/>
          <w:sz w:val="24"/>
          <w:szCs w:val="24"/>
        </w:rPr>
        <w:t>若客户对理财产品有任何投诉或建议，请致电天津农商银行客户服务热线“96155”或反馈至购买本期产品的营业网点，天津农商银行将对您所反映的情况和建议作及时的处理和反馈。</w:t>
      </w:r>
    </w:p>
    <w:p w:rsidR="00CE313F" w:rsidRDefault="00CE313F" w:rsidP="00CE313F">
      <w:pPr>
        <w:rPr>
          <w:rFonts w:ascii="仿宋_GB2312" w:eastAsia="仿宋_GB2312"/>
          <w:sz w:val="24"/>
          <w:szCs w:val="24"/>
        </w:rPr>
      </w:pPr>
    </w:p>
    <w:p w:rsidR="00CE313F" w:rsidRDefault="00CE313F" w:rsidP="00CE313F">
      <w:pPr>
        <w:rPr>
          <w:rFonts w:ascii="仿宋_GB2312" w:eastAsia="仿宋_GB2312"/>
          <w:sz w:val="24"/>
          <w:szCs w:val="24"/>
        </w:rPr>
      </w:pPr>
    </w:p>
    <w:p w:rsidR="00CE313F" w:rsidRDefault="00CE313F" w:rsidP="00CE313F">
      <w:pPr>
        <w:rPr>
          <w:rFonts w:ascii="仿宋_GB2312" w:eastAsia="仿宋_GB2312"/>
          <w:sz w:val="24"/>
          <w:szCs w:val="24"/>
        </w:rPr>
      </w:pPr>
    </w:p>
    <w:p w:rsidR="00CE313F" w:rsidRDefault="00CE313F" w:rsidP="00CE313F">
      <w:pPr>
        <w:rPr>
          <w:rFonts w:ascii="仿宋_GB2312" w:eastAsia="仿宋_GB2312"/>
          <w:sz w:val="24"/>
          <w:szCs w:val="24"/>
        </w:rPr>
      </w:pPr>
    </w:p>
    <w:p w:rsidR="00CE313F" w:rsidRDefault="00CE313F" w:rsidP="00CE313F">
      <w:pPr>
        <w:rPr>
          <w:rFonts w:ascii="仿宋_GB2312" w:eastAsia="仿宋_GB2312"/>
          <w:sz w:val="24"/>
          <w:szCs w:val="24"/>
        </w:rPr>
      </w:pPr>
      <w:r>
        <w:rPr>
          <w:rFonts w:ascii="仿宋_GB2312" w:eastAsia="仿宋_GB2312" w:hint="eastAsia"/>
          <w:sz w:val="24"/>
          <w:szCs w:val="24"/>
        </w:rPr>
        <w:t xml:space="preserve">                                         天津农村商业银行股份有限公司</w:t>
      </w:r>
    </w:p>
    <w:p w:rsidR="00CE313F" w:rsidRDefault="00CE313F" w:rsidP="00CE313F">
      <w:pPr>
        <w:rPr>
          <w:rFonts w:ascii="仿宋_GB2312" w:eastAsia="仿宋_GB2312"/>
          <w:b/>
          <w:szCs w:val="21"/>
        </w:rPr>
      </w:pPr>
    </w:p>
    <w:p w:rsidR="00CE313F" w:rsidRDefault="00CE313F" w:rsidP="00CE313F">
      <w:pPr>
        <w:jc w:val="center"/>
        <w:rPr>
          <w:rFonts w:ascii="仿宋_GB2312" w:eastAsia="仿宋_GB2312"/>
          <w:b/>
          <w:sz w:val="28"/>
          <w:szCs w:val="28"/>
        </w:rPr>
      </w:pPr>
    </w:p>
    <w:p w:rsidR="00CE313F" w:rsidRDefault="00CE313F" w:rsidP="00CE313F">
      <w:pPr>
        <w:jc w:val="center"/>
        <w:rPr>
          <w:rFonts w:ascii="仿宋_GB2312" w:eastAsia="仿宋_GB2312"/>
          <w:b/>
          <w:sz w:val="28"/>
          <w:szCs w:val="28"/>
        </w:rPr>
      </w:pPr>
    </w:p>
    <w:p w:rsidR="00CE313F" w:rsidRDefault="00CE313F" w:rsidP="00CE313F">
      <w:pPr>
        <w:rPr>
          <w:rFonts w:ascii="仿宋_GB2312" w:eastAsia="仿宋_GB2312"/>
          <w:b/>
          <w:sz w:val="24"/>
        </w:rPr>
      </w:pPr>
    </w:p>
    <w:p w:rsidR="00CE313F" w:rsidRDefault="00CE313F" w:rsidP="00CE313F">
      <w:pPr>
        <w:rPr>
          <w:rFonts w:ascii="仿宋_GB2312" w:eastAsia="仿宋_GB2312"/>
          <w:b/>
          <w:sz w:val="24"/>
        </w:rPr>
      </w:pPr>
    </w:p>
    <w:p w:rsidR="00CE313F" w:rsidRDefault="00CE313F" w:rsidP="00CE313F">
      <w:pPr>
        <w:rPr>
          <w:rFonts w:ascii="仿宋_GB2312" w:eastAsia="仿宋_GB2312"/>
          <w:b/>
          <w:sz w:val="28"/>
          <w:szCs w:val="28"/>
        </w:rPr>
      </w:pPr>
      <w:r>
        <w:rPr>
          <w:rFonts w:ascii="仿宋_GB2312" w:eastAsia="仿宋_GB2312" w:hint="eastAsia"/>
          <w:b/>
          <w:sz w:val="28"/>
          <w:szCs w:val="28"/>
        </w:rPr>
        <w:lastRenderedPageBreak/>
        <w:t>天津农商银行“吉享人生”系列净值型人民币理财产品风险揭示书</w:t>
      </w:r>
    </w:p>
    <w:p w:rsidR="00CE313F" w:rsidRDefault="00CE313F" w:rsidP="00CE313F">
      <w:pPr>
        <w:jc w:val="center"/>
        <w:rPr>
          <w:rFonts w:ascii="仿宋_GB2312" w:eastAsia="仿宋_GB2312"/>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1117600</wp:posOffset>
                </wp:positionH>
                <wp:positionV relativeFrom="paragraph">
                  <wp:posOffset>22860</wp:posOffset>
                </wp:positionV>
                <wp:extent cx="3448050" cy="482600"/>
                <wp:effectExtent l="0" t="0" r="19050" b="12700"/>
                <wp:wrapNone/>
                <wp:docPr id="5" name="圆角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0" cy="482600"/>
                        </a:xfrm>
                        <a:prstGeom prst="roundRect">
                          <a:avLst>
                            <a:gd name="adj" fmla="val 16667"/>
                          </a:avLst>
                        </a:prstGeom>
                        <a:solidFill>
                          <a:srgbClr val="FFFFFF"/>
                        </a:solidFill>
                        <a:ln w="9525">
                          <a:solidFill>
                            <a:srgbClr val="000000"/>
                          </a:solidFill>
                          <a:round/>
                          <a:headEnd/>
                          <a:tailEnd/>
                        </a:ln>
                      </wps:spPr>
                      <wps:txbx>
                        <w:txbxContent>
                          <w:p w:rsidR="00CE313F" w:rsidRDefault="00CE313F" w:rsidP="00CE313F">
                            <w:pPr>
                              <w:rPr>
                                <w:rFonts w:ascii="华文中宋" w:eastAsia="华文中宋" w:hAnsi="华文中宋"/>
                                <w:b/>
                                <w:sz w:val="28"/>
                                <w:szCs w:val="28"/>
                              </w:rPr>
                            </w:pPr>
                            <w:r>
                              <w:rPr>
                                <w:rFonts w:ascii="华文中宋" w:eastAsia="华文中宋" w:hAnsi="华文中宋" w:hint="eastAsia"/>
                                <w:b/>
                                <w:sz w:val="28"/>
                                <w:szCs w:val="28"/>
                              </w:rPr>
                              <w:t>理财非存款、产品有风险、投资须谨慎！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圆角矩形 5" o:spid="_x0000_s1026" style="position:absolute;left:0;text-align:left;margin-left:88pt;margin-top:1.8pt;width:271.5pt;height: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">
                <v:textbox>
                  <w:txbxContent>
                    <w:p w:rsidR="00CE313F" w:rsidRDefault="00CE313F" w:rsidP="00CE313F">
                      <w:pPr>
                        <w:rPr>
                          <w:rFonts w:ascii="华文中宋" w:eastAsia="华文中宋" w:hAnsi="华文中宋"/>
                          <w:b/>
                          <w:sz w:val="28"/>
                          <w:szCs w:val="28"/>
                        </w:rPr>
                      </w:pPr>
                      <w:r>
                        <w:rPr>
                          <w:rFonts w:ascii="华文中宋" w:eastAsia="华文中宋" w:hAnsi="华文中宋" w:hint="eastAsia"/>
                          <w:b/>
                          <w:sz w:val="28"/>
                          <w:szCs w:val="28"/>
                        </w:rPr>
                        <w:t>理财非存款、产品有风险、投资须谨慎！</w:t>
                      </w:r>
                    </w:p>
                  </w:txbxContent>
                </v:textbox>
              </v:roundrect>
            </w:pict>
          </mc:Fallback>
        </mc:AlternateContent>
      </w:r>
    </w:p>
    <w:p w:rsidR="00CE313F" w:rsidRDefault="00CE313F" w:rsidP="00CE313F">
      <w:pPr>
        <w:rPr>
          <w:rFonts w:ascii="仿宋_GB2312" w:eastAsia="仿宋_GB2312"/>
          <w:szCs w:val="21"/>
        </w:rPr>
      </w:pPr>
    </w:p>
    <w:p w:rsidR="00CE313F" w:rsidRDefault="00CE313F" w:rsidP="00CE313F">
      <w:pPr>
        <w:rPr>
          <w:rFonts w:ascii="仿宋_GB2312" w:eastAsia="仿宋_GB2312"/>
          <w:sz w:val="24"/>
          <w:szCs w:val="24"/>
        </w:rPr>
      </w:pPr>
      <w:r>
        <w:rPr>
          <w:rFonts w:ascii="仿宋_GB2312" w:eastAsia="仿宋_GB2312" w:hint="eastAsia"/>
          <w:sz w:val="24"/>
          <w:szCs w:val="24"/>
        </w:rPr>
        <w:t>尊敬的客户：</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由于理财资金管理运用过程中，可能会面临多种风险因素，因此，根据原中国银行保险监督管理委员会相关监管规定的要求，在您选择购买本理财产品前，请仔细阅读以下重要内容：</w:t>
      </w:r>
    </w:p>
    <w:p w:rsidR="00CE313F" w:rsidRDefault="00CE313F" w:rsidP="00CE313F">
      <w:pPr>
        <w:ind w:firstLineChars="200" w:firstLine="482"/>
        <w:rPr>
          <w:rFonts w:ascii="仿宋_GB2312" w:eastAsia="仿宋_GB2312"/>
          <w:b/>
          <w:sz w:val="24"/>
          <w:szCs w:val="24"/>
        </w:rPr>
      </w:pPr>
      <w:r>
        <w:rPr>
          <w:rFonts w:ascii="仿宋_GB2312" w:eastAsia="仿宋_GB2312" w:hint="eastAsia"/>
          <w:b/>
          <w:sz w:val="24"/>
          <w:szCs w:val="24"/>
        </w:rPr>
        <w:t>重要须知：</w:t>
      </w:r>
    </w:p>
    <w:p w:rsidR="00CE313F" w:rsidRDefault="00CE313F" w:rsidP="00CE313F">
      <w:pPr>
        <w:ind w:firstLineChars="200" w:firstLine="480"/>
        <w:rPr>
          <w:rFonts w:ascii="仿宋_GB2312" w:eastAsia="仿宋_GB2312" w:hint="eastAsia"/>
          <w:sz w:val="24"/>
          <w:szCs w:val="24"/>
        </w:rPr>
      </w:pPr>
      <w:r>
        <w:rPr>
          <w:rFonts w:ascii="仿宋_GB2312" w:eastAsia="仿宋_GB2312" w:hint="eastAsia"/>
          <w:sz w:val="24"/>
          <w:szCs w:val="24"/>
        </w:rPr>
        <w:t>（一）银行销售的理财产品与存款存在明显区别，具有一定的风险，投资须谨慎。</w:t>
      </w:r>
    </w:p>
    <w:p w:rsidR="00CE313F" w:rsidRDefault="00CE313F" w:rsidP="00CE313F">
      <w:pPr>
        <w:ind w:firstLineChars="200" w:firstLine="480"/>
        <w:rPr>
          <w:rFonts w:ascii="仿宋_GB2312" w:eastAsia="仿宋_GB2312" w:hint="eastAsia"/>
          <w:sz w:val="24"/>
          <w:szCs w:val="24"/>
        </w:rPr>
      </w:pPr>
      <w:r>
        <w:rPr>
          <w:rFonts w:ascii="仿宋_GB2312" w:eastAsia="仿宋_GB2312" w:hint="eastAsia"/>
          <w:sz w:val="24"/>
          <w:szCs w:val="24"/>
        </w:rPr>
        <w:t>（二）</w:t>
      </w:r>
      <w:r>
        <w:rPr>
          <w:rFonts w:ascii="仿宋_GB2312" w:eastAsia="仿宋_GB2312" w:hAnsi="华文中宋" w:hint="eastAsia"/>
          <w:sz w:val="24"/>
          <w:szCs w:val="24"/>
        </w:rPr>
        <w:t>本理财产品</w:t>
      </w:r>
      <w:r>
        <w:rPr>
          <w:rFonts w:ascii="仿宋_GB2312" w:eastAsia="仿宋_GB2312" w:hint="eastAsia"/>
          <w:sz w:val="24"/>
          <w:szCs w:val="24"/>
        </w:rPr>
        <w:t>适合于风险类型为稳健型（含）以上的个人投资者。</w:t>
      </w:r>
    </w:p>
    <w:p w:rsidR="00CE313F" w:rsidRDefault="00CE313F" w:rsidP="00CE313F">
      <w:pPr>
        <w:ind w:firstLineChars="200" w:firstLine="480"/>
        <w:rPr>
          <w:rFonts w:ascii="仿宋_GB2312" w:eastAsia="仿宋_GB2312"/>
          <w:b/>
          <w:sz w:val="24"/>
          <w:szCs w:val="24"/>
        </w:rPr>
      </w:pPr>
      <w:r>
        <w:rPr>
          <w:rFonts w:ascii="仿宋_GB2312" w:eastAsia="仿宋_GB2312" w:hint="eastAsia"/>
          <w:sz w:val="24"/>
          <w:szCs w:val="24"/>
        </w:rPr>
        <w:t>（三）</w:t>
      </w:r>
      <w:r>
        <w:rPr>
          <w:rFonts w:ascii="仿宋_GB2312" w:eastAsia="仿宋_GB2312" w:hint="eastAsia"/>
          <w:b/>
          <w:sz w:val="24"/>
          <w:szCs w:val="24"/>
        </w:rPr>
        <w:t>本系列产品为非保本产品，不保证本金及收益，任何业绩比较基准、预期收益、预期最高收益、预计收益、测算收益或类似表述均属不具有法律约束力的用语，不代表投资者可能获得的实际收益，亦不构成天津农商银行对本理财产品的任何收益承诺</w:t>
      </w:r>
      <w:r>
        <w:rPr>
          <w:rFonts w:ascii="仿宋_GB2312" w:eastAsia="仿宋_GB2312" w:hint="eastAsia"/>
          <w:sz w:val="24"/>
          <w:szCs w:val="24"/>
        </w:rPr>
        <w:t>。</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 xml:space="preserve">（四）天津农商银行郑重提示：在购买理财产品前，投资者应确保自己完全明白该项投资的性质和所涉及的风险，详细了解和审慎评估该理财产品的资金投资方向、风险类型及预期收益等基本情况，在慎重考虑后自行决定购买与自身风险承受能力和资产管理需求匹配的理财产品。 </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（五）在购买理财产品后，投资者应随时关注该理财产品的信息披露情况，及时获取相关信息。</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（六）天津农商银行产品过往业绩不代表其未来表现，不构成新发理财产品业绩表现的保证。</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（七）如影响您风险承受能力的因素发生变化，请及时完成风险承受能力评估或再评估。</w:t>
      </w:r>
    </w:p>
    <w:p w:rsidR="00CE313F" w:rsidRDefault="00CE313F" w:rsidP="00CE313F">
      <w:pPr>
        <w:ind w:firstLineChars="200" w:firstLine="482"/>
        <w:rPr>
          <w:rFonts w:ascii="仿宋_GB2312" w:eastAsia="仿宋_GB2312"/>
          <w:sz w:val="24"/>
          <w:szCs w:val="24"/>
        </w:rPr>
      </w:pPr>
      <w:r>
        <w:rPr>
          <w:rFonts w:ascii="仿宋_GB2312" w:eastAsia="仿宋_GB2312" w:hint="eastAsia"/>
          <w:b/>
          <w:sz w:val="24"/>
          <w:szCs w:val="24"/>
        </w:rPr>
        <w:t>风险揭示：</w:t>
      </w:r>
      <w:r>
        <w:rPr>
          <w:rFonts w:ascii="仿宋_GB2312" w:eastAsia="仿宋_GB2312" w:hint="eastAsia"/>
          <w:sz w:val="24"/>
          <w:szCs w:val="24"/>
        </w:rPr>
        <w:t xml:space="preserve"> </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 xml:space="preserve">（一）政策风险：本产品是针对当前有效的相关法规和政策设计的。如国家宏观政策以及市场相关法规政策发生变化，可能影响理财产品的发行、投资和兑付等，可能影响本产品的投资运作和收益，甚至本金损失。 </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二）信用风险：投资者面临所投资的资产或资产组合设计的融资人和债券发行人的信用违约。如本理财产品配置的资产标的所涉及的相关债务主体到期未能履行付息、还款义务，或者本理财产品配置信用类债券因为面临重大的损失而被止损，该理财产品的本金面临部分或者全部损失。</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三）市场风险：投资者面临的市场风险，包括但不限于产品投资资产面临的利率、汇率变化等市场风险以及价格波动情况；产品存续期内可能存在市场利率上升，但该产品的净值不随市场利率上升而提高的情形；受限于投资组合及具体策略的不同，理财产品净值变化趋势与市场整体发展趋势并不具有必然的一致性，最终可能导致投资者投资本金亏损。</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 xml:space="preserve">（四）流动性风险：本理财产品在存续期内投资者不能提前终止（投资者因罹患重大疾病、购房等需要，申请提前赎回本理财产品的除外），因此，在此存续期内如果投资者有流动性需求，可能面临理财产品持有期与资金需求日不匹配的流动性风险。 </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lastRenderedPageBreak/>
        <w:t>（五）理财产品不成立风险：如果市场发生剧烈波动，经天津农商银行合理判断难以按照本系列产品说明书规定向客户提供理财产品，天津农商银行有权宣布该产品不成立。</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六）提前终止风险：如遇不可抗力、国家金融政策重大调整、市场出现巨大不利波动、企业信用风险恶化或金融资产项下融资人提前还款等情况，经天津农商银行判断，将影响到理财产品的收益时，天津农商银行有权提前终止本理财产品。如天津农商银行提前终止本期理财产品，投资者可能面临实际理财期小于预定期限的风险或再投资风险。</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七）延期兑付风险：如因理财产品投资资产组合项下对应的投资标的变现不及时等原因造成本理财产品不能按时支付理财资金，从而可能导致理财产品到期投资者本金和收益不能按照约定到账日期到账，产生延期支付。延期内不计算理财收益及活期利息。</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八）不可抗力及意外事件风险：自然灾害、金融市场危机、战争或国家政策变化等不可抗力因素的出现或银行系统故障、通讯故障、投资市场停止交易等意外事件的出现，将严重影响金融市场的正常运行，可能影响理财产品的受理、成立、投资、兑付、信息披露、公告通知等的正常进行，甚至导致理财产品收益降低甚至收益为零。对于由不可抗力风险或意外事件所导致的任何损失，由投资者自行承担，天津农商银行对此不承担任何责任。</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 xml:space="preserve">（九）信息传递风险：理财产品存续期内不提供账单，投资者应根据本理财产品说明书所载明的公告方式及时查询本理财产品的相关信息。如果投资者未及时查询，或由于通讯故障、系统故障以及其他不可抗力等因素的影响使得投资者无法及时了解理财产品信息，并由此影响投资者的投资决策，因此而产生的责任和风险由投资者自行承担。另外，投资者预留在天津农商银行的有效联系方式变更的，应及时通知天津农商银行。如投资者未及时告知天津农商银行联系方式变更或因投资者其他原因导致天津农商银行在需要联系投资者时无法及时联系上，则可能会影响投资者的投资决策，由此而产生的责任和风险由投资者自行承担。 </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（十）交易失败风险 ：该理财产品设置产品规模上限，因此投资者的认购、申购等交易在超限情况下会确认失败；如因投资者资金账户状态异常或余额不足等造成认购、申购等交易确认失败，投资者可能面临再投资风险。</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（十一）最不利的投资情形：如因金融市场发生重大不利变动，或产品投资的债务人出现信用状况严重恶化或清盘破产等情况，投资者可能面临产品运作到期后无收益，并将损失部分甚至全部本金。以投资者投资 5万元本金为例，如发生最不利的投资情形，投资者到期赎回金额可能小于5万元甚至为0。</w:t>
      </w:r>
    </w:p>
    <w:p w:rsidR="00CE313F" w:rsidRDefault="00CE313F" w:rsidP="00CE313F">
      <w:pPr>
        <w:ind w:firstLineChars="200" w:firstLine="480"/>
        <w:rPr>
          <w:rFonts w:ascii="仿宋_GB2312" w:eastAsia="仿宋_GB2312"/>
          <w:sz w:val="24"/>
          <w:szCs w:val="24"/>
        </w:rPr>
      </w:pPr>
      <w:r>
        <w:rPr>
          <w:rFonts w:ascii="仿宋_GB2312" w:eastAsia="仿宋_GB2312" w:hint="eastAsia"/>
          <w:sz w:val="24"/>
          <w:szCs w:val="24"/>
        </w:rPr>
        <w:t>（十二）税务风险：根据国家相关法律法规，理财产品运营过程中发生的应由理财产品承担的增值税应税行为，由本产品管理人申报和缴纳增值税及附加税费。该等税款将直接从理财产品中扣付缴纳，本理财产品将因为前述增值税等税负承担导致计划税费支付增加、理财净值或实际收益降低，从而降低产品投资人的收益水平。</w:t>
      </w:r>
    </w:p>
    <w:p w:rsidR="00CE313F" w:rsidRDefault="00CE313F" w:rsidP="00CE313F">
      <w:pPr>
        <w:ind w:firstLineChars="200" w:firstLine="482"/>
        <w:rPr>
          <w:rFonts w:ascii="仿宋_GB2312" w:eastAsia="仿宋_GB2312"/>
          <w:b/>
          <w:sz w:val="24"/>
          <w:szCs w:val="24"/>
        </w:rPr>
      </w:pPr>
      <w:r>
        <w:rPr>
          <w:rFonts w:ascii="仿宋_GB2312" w:eastAsia="仿宋_GB2312" w:hint="eastAsia"/>
          <w:b/>
          <w:sz w:val="24"/>
          <w:szCs w:val="24"/>
        </w:rPr>
        <w:t>上述列举的具体风险并不能穷尽理财产品的所有风险，只是作为例证而不表明天津农商银行对未来市场趋势的观点。</w:t>
      </w:r>
    </w:p>
    <w:p w:rsidR="00CE313F" w:rsidRDefault="00CE313F" w:rsidP="00CE313F">
      <w:pPr>
        <w:ind w:firstLineChars="200" w:firstLine="482"/>
        <w:rPr>
          <w:rFonts w:ascii="仿宋_GB2312" w:eastAsia="仿宋_GB2312" w:hint="eastAsia"/>
          <w:b/>
          <w:sz w:val="24"/>
          <w:szCs w:val="24"/>
        </w:rPr>
      </w:pPr>
    </w:p>
    <w:p w:rsidR="00CE313F" w:rsidRDefault="00CE313F" w:rsidP="00CE313F">
      <w:pPr>
        <w:ind w:firstLineChars="200" w:firstLine="482"/>
        <w:rPr>
          <w:rFonts w:ascii="仿宋_GB2312" w:eastAsia="仿宋_GB2312" w:hint="eastAsia"/>
          <w:b/>
          <w:sz w:val="24"/>
          <w:szCs w:val="24"/>
        </w:rPr>
      </w:pPr>
    </w:p>
    <w:p w:rsidR="00CE313F" w:rsidRDefault="00CE313F" w:rsidP="00CE313F">
      <w:pPr>
        <w:ind w:firstLineChars="200" w:firstLine="482"/>
        <w:rPr>
          <w:rFonts w:ascii="仿宋_GB2312" w:eastAsia="仿宋_GB2312" w:hint="eastAsia"/>
          <w:b/>
          <w:sz w:val="24"/>
          <w:szCs w:val="24"/>
        </w:rPr>
      </w:pPr>
    </w:p>
    <w:p w:rsidR="00CE313F" w:rsidRDefault="00CE313F" w:rsidP="00CE313F">
      <w:pPr>
        <w:rPr>
          <w:rFonts w:ascii="仿宋_GB2312" w:eastAsia="仿宋_GB2312" w:hint="eastAsia"/>
          <w:b/>
          <w:sz w:val="24"/>
          <w:szCs w:val="24"/>
        </w:rPr>
      </w:pPr>
    </w:p>
    <w:p w:rsidR="00CE313F" w:rsidRDefault="00CE313F" w:rsidP="00CE313F">
      <w:pPr>
        <w:ind w:firstLineChars="200" w:firstLine="482"/>
        <w:rPr>
          <w:rFonts w:ascii="仿宋_GB2312" w:eastAsia="仿宋_GB2312"/>
          <w:b/>
          <w:sz w:val="24"/>
          <w:szCs w:val="24"/>
        </w:rPr>
      </w:pPr>
      <w:r>
        <w:rPr>
          <w:rFonts w:ascii="仿宋_GB2312" w:eastAsia="仿宋_GB2312" w:hint="eastAsia"/>
          <w:b/>
          <w:sz w:val="24"/>
          <w:szCs w:val="24"/>
        </w:rPr>
        <w:lastRenderedPageBreak/>
        <w:t>产品特征：</w:t>
      </w:r>
    </w:p>
    <w:tbl>
      <w:tblPr>
        <w:tblW w:w="861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7371"/>
      </w:tblGrid>
      <w:tr w:rsidR="00CE313F" w:rsidTr="007C2B01">
        <w:trPr>
          <w:trHeight w:val="397"/>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CE313F" w:rsidRDefault="00CE313F" w:rsidP="007C2B01">
            <w:pPr>
              <w:tabs>
                <w:tab w:val="left" w:pos="4"/>
              </w:tabs>
              <w:ind w:leftChars="1" w:left="2"/>
              <w:jc w:val="left"/>
              <w:rPr>
                <w:rFonts w:ascii="仿宋_GB2312" w:eastAsia="仿宋_GB2312"/>
                <w:sz w:val="24"/>
                <w:szCs w:val="24"/>
              </w:rPr>
            </w:pPr>
            <w:r>
              <w:rPr>
                <w:rFonts w:ascii="仿宋_GB2312" w:eastAsia="仿宋_GB2312" w:hint="eastAsia"/>
                <w:sz w:val="24"/>
                <w:szCs w:val="24"/>
              </w:rPr>
              <w:t>产品名称</w:t>
            </w:r>
          </w:p>
        </w:tc>
        <w:tc>
          <w:tcPr>
            <w:tcW w:w="7371"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ind w:firstLineChars="200" w:firstLine="480"/>
              <w:rPr>
                <w:rFonts w:ascii="仿宋_GB2312" w:eastAsia="仿宋_GB2312"/>
                <w:sz w:val="24"/>
                <w:szCs w:val="24"/>
              </w:rPr>
            </w:pPr>
            <w:r>
              <w:rPr>
                <w:rFonts w:ascii="仿宋_GB2312" w:eastAsia="仿宋_GB2312" w:hint="eastAsia"/>
                <w:sz w:val="24"/>
                <w:szCs w:val="24"/>
              </w:rPr>
              <w:t>吉享人生第25002期净值型人民币理财产品</w:t>
            </w:r>
          </w:p>
        </w:tc>
      </w:tr>
      <w:tr w:rsidR="00CE313F" w:rsidTr="007C2B01">
        <w:trPr>
          <w:trHeight w:val="397"/>
        </w:trPr>
        <w:tc>
          <w:tcPr>
            <w:tcW w:w="1246" w:type="dxa"/>
            <w:vMerge/>
            <w:tcBorders>
              <w:top w:val="single" w:sz="4" w:space="0" w:color="auto"/>
              <w:left w:val="single" w:sz="4" w:space="0" w:color="auto"/>
              <w:bottom w:val="single" w:sz="4" w:space="0" w:color="auto"/>
              <w:right w:val="single" w:sz="4" w:space="0" w:color="auto"/>
            </w:tcBorders>
            <w:vAlign w:val="center"/>
          </w:tcPr>
          <w:p w:rsidR="00CE313F" w:rsidRDefault="00CE313F" w:rsidP="007C2B01">
            <w:pPr>
              <w:widowControl/>
              <w:jc w:val="left"/>
              <w:rPr>
                <w:rFonts w:ascii="仿宋_GB2312" w:eastAsia="仿宋_GB2312"/>
                <w:sz w:val="24"/>
                <w:szCs w:val="24"/>
              </w:rPr>
            </w:pPr>
          </w:p>
        </w:tc>
        <w:tc>
          <w:tcPr>
            <w:tcW w:w="7371"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ind w:firstLineChars="200" w:firstLine="480"/>
              <w:jc w:val="left"/>
              <w:rPr>
                <w:rFonts w:ascii="仿宋_GB2312" w:eastAsia="仿宋_GB2312" w:hint="eastAsia"/>
                <w:sz w:val="24"/>
                <w:szCs w:val="24"/>
              </w:rPr>
            </w:pPr>
            <w:r>
              <w:rPr>
                <w:rFonts w:ascii="仿宋_GB2312" w:eastAsia="仿宋_GB2312" w:hint="eastAsia"/>
                <w:sz w:val="24"/>
                <w:szCs w:val="24"/>
              </w:rPr>
              <w:t>代码：</w:t>
            </w:r>
            <w:r>
              <w:rPr>
                <w:rFonts w:ascii="仿宋_GB2312" w:eastAsia="仿宋_GB2312"/>
                <w:sz w:val="24"/>
                <w:szCs w:val="24"/>
              </w:rPr>
              <w:t>JXRS</w:t>
            </w:r>
            <w:r>
              <w:rPr>
                <w:rFonts w:ascii="仿宋_GB2312" w:eastAsia="仿宋_GB2312" w:hint="eastAsia"/>
                <w:sz w:val="24"/>
                <w:szCs w:val="24"/>
              </w:rPr>
              <w:t>25002</w:t>
            </w:r>
          </w:p>
        </w:tc>
      </w:tr>
      <w:tr w:rsidR="00CE313F" w:rsidTr="007C2B01">
        <w:trPr>
          <w:trHeight w:val="397"/>
        </w:trPr>
        <w:tc>
          <w:tcPr>
            <w:tcW w:w="1246"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tabs>
                <w:tab w:val="left" w:pos="4"/>
              </w:tabs>
              <w:ind w:leftChars="1" w:left="2"/>
              <w:jc w:val="left"/>
              <w:rPr>
                <w:rFonts w:ascii="仿宋_GB2312" w:eastAsia="仿宋_GB2312"/>
                <w:sz w:val="24"/>
                <w:szCs w:val="24"/>
              </w:rPr>
            </w:pPr>
            <w:r>
              <w:rPr>
                <w:rFonts w:ascii="仿宋_GB2312" w:eastAsia="仿宋_GB2312" w:hint="eastAsia"/>
                <w:sz w:val="24"/>
                <w:szCs w:val="24"/>
              </w:rPr>
              <w:t>产品类型</w:t>
            </w:r>
          </w:p>
        </w:tc>
        <w:tc>
          <w:tcPr>
            <w:tcW w:w="7371"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ind w:firstLineChars="200" w:firstLine="480"/>
              <w:rPr>
                <w:rFonts w:ascii="仿宋_GB2312" w:eastAsia="仿宋_GB2312"/>
                <w:sz w:val="24"/>
                <w:szCs w:val="24"/>
              </w:rPr>
            </w:pPr>
            <w:r>
              <w:rPr>
                <w:rFonts w:ascii="仿宋_GB2312" w:eastAsia="仿宋_GB2312" w:hint="eastAsia"/>
                <w:sz w:val="24"/>
                <w:szCs w:val="24"/>
              </w:rPr>
              <w:t>封闭式净值型（非保本浮动收益型）</w:t>
            </w:r>
          </w:p>
        </w:tc>
      </w:tr>
      <w:tr w:rsidR="00CE313F" w:rsidTr="007C2B01">
        <w:trPr>
          <w:trHeight w:val="397"/>
        </w:trPr>
        <w:tc>
          <w:tcPr>
            <w:tcW w:w="1246"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tabs>
                <w:tab w:val="left" w:pos="4"/>
              </w:tabs>
              <w:ind w:leftChars="1" w:left="2"/>
              <w:jc w:val="left"/>
              <w:rPr>
                <w:rFonts w:ascii="仿宋_GB2312" w:eastAsia="仿宋_GB2312"/>
                <w:sz w:val="24"/>
                <w:szCs w:val="24"/>
              </w:rPr>
            </w:pPr>
            <w:r>
              <w:rPr>
                <w:rFonts w:ascii="仿宋_GB2312" w:eastAsia="仿宋_GB2312" w:hint="eastAsia"/>
                <w:sz w:val="24"/>
                <w:szCs w:val="24"/>
              </w:rPr>
              <w:t>理财期限</w:t>
            </w:r>
          </w:p>
        </w:tc>
        <w:tc>
          <w:tcPr>
            <w:tcW w:w="7371"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ind w:firstLineChars="200" w:firstLine="480"/>
              <w:rPr>
                <w:rFonts w:ascii="仿宋_GB2312" w:eastAsia="仿宋_GB2312"/>
                <w:sz w:val="24"/>
                <w:szCs w:val="24"/>
              </w:rPr>
            </w:pPr>
            <w:r>
              <w:rPr>
                <w:rFonts w:ascii="仿宋_GB2312" w:eastAsia="仿宋_GB2312" w:hint="eastAsia"/>
                <w:sz w:val="24"/>
                <w:szCs w:val="24"/>
              </w:rPr>
              <w:t>550天</w:t>
            </w:r>
          </w:p>
          <w:p w:rsidR="00CE313F" w:rsidRDefault="00CE313F" w:rsidP="007C2B01">
            <w:pPr>
              <w:ind w:firstLineChars="200" w:firstLine="480"/>
              <w:rPr>
                <w:rFonts w:ascii="仿宋_GB2312" w:eastAsia="仿宋_GB2312"/>
                <w:sz w:val="24"/>
                <w:szCs w:val="24"/>
              </w:rPr>
            </w:pPr>
            <w:r>
              <w:rPr>
                <w:rFonts w:ascii="仿宋_GB2312" w:eastAsia="仿宋_GB2312" w:hint="eastAsia"/>
                <w:sz w:val="24"/>
                <w:szCs w:val="24"/>
              </w:rPr>
              <w:t>实际理财天数：自本理财产品起始日至产品到期日（不含）或提前终止日（不含）期间的天数</w:t>
            </w:r>
          </w:p>
        </w:tc>
      </w:tr>
    </w:tbl>
    <w:p w:rsidR="00CE313F" w:rsidRDefault="00CE313F" w:rsidP="00CE313F">
      <w:pPr>
        <w:rPr>
          <w:rFonts w:ascii="仿宋_GB2312" w:eastAsia="仿宋_GB2312"/>
          <w:vanish/>
          <w:sz w:val="24"/>
          <w:szCs w:val="24"/>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701"/>
        <w:gridCol w:w="1241"/>
        <w:gridCol w:w="4854"/>
      </w:tblGrid>
      <w:tr w:rsidR="00CE313F" w:rsidTr="007C2B01">
        <w:trPr>
          <w:cantSplit/>
          <w:trHeight w:val="495"/>
        </w:trPr>
        <w:tc>
          <w:tcPr>
            <w:tcW w:w="817" w:type="dxa"/>
            <w:vMerge w:val="restart"/>
            <w:tcBorders>
              <w:top w:val="single" w:sz="4" w:space="0" w:color="auto"/>
              <w:left w:val="single" w:sz="4" w:space="0" w:color="auto"/>
              <w:bottom w:val="single" w:sz="4" w:space="0" w:color="auto"/>
              <w:right w:val="single" w:sz="4" w:space="0" w:color="auto"/>
            </w:tcBorders>
          </w:tcPr>
          <w:p w:rsidR="00CE313F" w:rsidRDefault="00CE313F" w:rsidP="007C2B01">
            <w:pPr>
              <w:ind w:firstLineChars="200" w:firstLine="480"/>
              <w:rPr>
                <w:rFonts w:ascii="仿宋_GB2312" w:eastAsia="仿宋_GB2312"/>
                <w:sz w:val="24"/>
                <w:szCs w:val="24"/>
              </w:rPr>
            </w:pPr>
          </w:p>
          <w:p w:rsidR="00CE313F" w:rsidRDefault="00CE313F" w:rsidP="007C2B01">
            <w:pPr>
              <w:ind w:firstLineChars="200" w:firstLine="480"/>
              <w:rPr>
                <w:rFonts w:ascii="仿宋_GB2312" w:eastAsia="仿宋_GB2312"/>
                <w:sz w:val="24"/>
                <w:szCs w:val="24"/>
              </w:rPr>
            </w:pPr>
          </w:p>
          <w:p w:rsidR="00CE313F" w:rsidRDefault="00CE313F" w:rsidP="007C2B01">
            <w:pPr>
              <w:rPr>
                <w:rFonts w:ascii="仿宋_GB2312" w:eastAsia="仿宋_GB2312"/>
                <w:sz w:val="24"/>
                <w:szCs w:val="24"/>
              </w:rPr>
            </w:pPr>
          </w:p>
          <w:p w:rsidR="00CE313F" w:rsidRDefault="00CE313F" w:rsidP="007C2B01">
            <w:pPr>
              <w:rPr>
                <w:rFonts w:ascii="仿宋_GB2312" w:eastAsia="仿宋_GB2312"/>
                <w:sz w:val="24"/>
                <w:szCs w:val="24"/>
              </w:rPr>
            </w:pPr>
          </w:p>
          <w:p w:rsidR="00CE313F" w:rsidRDefault="00CE313F" w:rsidP="007C2B01">
            <w:pPr>
              <w:rPr>
                <w:rFonts w:ascii="仿宋_GB2312" w:eastAsia="仿宋_GB2312"/>
                <w:sz w:val="24"/>
                <w:szCs w:val="24"/>
              </w:rPr>
            </w:pPr>
          </w:p>
          <w:p w:rsidR="00CE313F" w:rsidRDefault="00CE313F" w:rsidP="007C2B01">
            <w:pPr>
              <w:rPr>
                <w:rFonts w:ascii="仿宋_GB2312" w:eastAsia="仿宋_GB2312"/>
                <w:sz w:val="24"/>
                <w:szCs w:val="24"/>
              </w:rPr>
            </w:pPr>
          </w:p>
          <w:p w:rsidR="00CE313F" w:rsidRDefault="00CE313F" w:rsidP="007C2B01">
            <w:pPr>
              <w:rPr>
                <w:rFonts w:ascii="仿宋_GB2312" w:eastAsia="仿宋_GB2312"/>
                <w:sz w:val="24"/>
                <w:szCs w:val="24"/>
              </w:rPr>
            </w:pPr>
            <w:r>
              <w:rPr>
                <w:rFonts w:ascii="仿宋_GB2312" w:eastAsia="仿宋_GB2312" w:hint="eastAsia"/>
                <w:sz w:val="24"/>
                <w:szCs w:val="24"/>
              </w:rPr>
              <w:t>内部</w:t>
            </w:r>
          </w:p>
          <w:p w:rsidR="00CE313F" w:rsidRDefault="00CE313F" w:rsidP="007C2B01">
            <w:pPr>
              <w:rPr>
                <w:rFonts w:ascii="仿宋_GB2312" w:eastAsia="仿宋_GB2312"/>
                <w:sz w:val="24"/>
                <w:szCs w:val="24"/>
              </w:rPr>
            </w:pPr>
            <w:r>
              <w:rPr>
                <w:rFonts w:ascii="仿宋_GB2312" w:eastAsia="仿宋_GB2312" w:hint="eastAsia"/>
                <w:sz w:val="24"/>
                <w:szCs w:val="24"/>
              </w:rPr>
              <w:t>风险</w:t>
            </w:r>
          </w:p>
          <w:p w:rsidR="00CE313F" w:rsidRDefault="00CE313F" w:rsidP="007C2B01">
            <w:pPr>
              <w:rPr>
                <w:rFonts w:ascii="仿宋_GB2312" w:eastAsia="仿宋_GB2312"/>
                <w:sz w:val="24"/>
                <w:szCs w:val="24"/>
              </w:rPr>
            </w:pPr>
            <w:r>
              <w:rPr>
                <w:rFonts w:ascii="仿宋_GB2312" w:eastAsia="仿宋_GB2312" w:hint="eastAsia"/>
                <w:sz w:val="24"/>
                <w:szCs w:val="24"/>
              </w:rPr>
              <w:t>评级</w:t>
            </w:r>
          </w:p>
          <w:p w:rsidR="00CE313F" w:rsidRDefault="00CE313F" w:rsidP="007C2B01">
            <w:pPr>
              <w:rPr>
                <w:rFonts w:ascii="仿宋_GB2312" w:eastAsia="仿宋_GB2312"/>
                <w:sz w:val="24"/>
                <w:szCs w:val="24"/>
              </w:rPr>
            </w:pPr>
            <w:r>
              <w:rPr>
                <w:rFonts w:ascii="仿宋_GB2312" w:eastAsia="仿宋_GB2312" w:hint="eastAsia"/>
                <w:sz w:val="24"/>
                <w:szCs w:val="24"/>
              </w:rPr>
              <w:t>说明</w:t>
            </w:r>
          </w:p>
        </w:tc>
        <w:tc>
          <w:tcPr>
            <w:tcW w:w="7796" w:type="dxa"/>
            <w:gridSpan w:val="3"/>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sz w:val="24"/>
                <w:szCs w:val="24"/>
              </w:rPr>
              <w:t>本理财产品内部风险评级为：</w:t>
            </w:r>
            <w:r>
              <w:rPr>
                <w:rFonts w:ascii="仿宋_GB2312" w:eastAsia="仿宋_GB2312" w:hAnsi="宋体" w:cs="宋体" w:hint="eastAsia"/>
                <w:b/>
                <w:bCs/>
                <w:sz w:val="24"/>
                <w:szCs w:val="24"/>
              </w:rPr>
              <w:t>PR2</w:t>
            </w:r>
          </w:p>
          <w:p w:rsidR="00CE313F" w:rsidRDefault="00CE313F" w:rsidP="007C2B01">
            <w:pPr>
              <w:rPr>
                <w:rFonts w:ascii="仿宋_GB2312" w:eastAsia="仿宋_GB2312"/>
                <w:sz w:val="24"/>
                <w:szCs w:val="24"/>
              </w:rPr>
            </w:pPr>
            <w:r>
              <w:rPr>
                <w:rFonts w:ascii="仿宋_GB2312" w:eastAsia="仿宋_GB2312" w:hint="eastAsia"/>
                <w:bCs/>
                <w:sz w:val="24"/>
                <w:szCs w:val="24"/>
              </w:rPr>
              <w:t>（</w:t>
            </w:r>
            <w:r>
              <w:rPr>
                <w:rFonts w:ascii="仿宋_GB2312" w:eastAsia="仿宋_GB2312" w:hint="eastAsia"/>
                <w:b/>
                <w:sz w:val="24"/>
                <w:szCs w:val="24"/>
              </w:rPr>
              <w:t>本风险评级为天津农商银行自行评定，仅供参考，该评级不具备对收益做出任何保证或承诺的法律效力</w:t>
            </w:r>
            <w:r>
              <w:rPr>
                <w:rFonts w:ascii="仿宋_GB2312" w:eastAsia="仿宋_GB2312" w:hint="eastAsia"/>
                <w:sz w:val="24"/>
                <w:szCs w:val="24"/>
              </w:rPr>
              <w:t>）</w:t>
            </w:r>
          </w:p>
        </w:tc>
      </w:tr>
      <w:tr w:rsidR="00CE313F" w:rsidTr="007C2B01">
        <w:trPr>
          <w:cantSplit/>
          <w:trHeight w:val="432"/>
        </w:trPr>
        <w:tc>
          <w:tcPr>
            <w:tcW w:w="817" w:type="dxa"/>
            <w:vMerge/>
            <w:tcBorders>
              <w:top w:val="single" w:sz="4" w:space="0" w:color="auto"/>
              <w:left w:val="single" w:sz="4" w:space="0" w:color="auto"/>
              <w:bottom w:val="single" w:sz="4" w:space="0" w:color="auto"/>
              <w:right w:val="single" w:sz="4" w:space="0" w:color="auto"/>
            </w:tcBorders>
            <w:vAlign w:val="center"/>
          </w:tcPr>
          <w:p w:rsidR="00CE313F" w:rsidRDefault="00CE313F" w:rsidP="007C2B01">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产品风险等级</w:t>
            </w:r>
          </w:p>
        </w:tc>
        <w:tc>
          <w:tcPr>
            <w:tcW w:w="124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风险程度</w:t>
            </w:r>
          </w:p>
        </w:tc>
        <w:tc>
          <w:tcPr>
            <w:tcW w:w="4854"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适合投资者</w:t>
            </w:r>
          </w:p>
        </w:tc>
      </w:tr>
      <w:tr w:rsidR="00CE313F" w:rsidTr="007C2B01">
        <w:trPr>
          <w:cantSplit/>
          <w:trHeight w:val="271"/>
        </w:trPr>
        <w:tc>
          <w:tcPr>
            <w:tcW w:w="817" w:type="dxa"/>
            <w:vMerge/>
            <w:tcBorders>
              <w:top w:val="single" w:sz="4" w:space="0" w:color="auto"/>
              <w:left w:val="single" w:sz="4" w:space="0" w:color="auto"/>
              <w:bottom w:val="single" w:sz="4" w:space="0" w:color="auto"/>
              <w:right w:val="single" w:sz="4" w:space="0" w:color="auto"/>
            </w:tcBorders>
            <w:vAlign w:val="center"/>
          </w:tcPr>
          <w:p w:rsidR="00CE313F" w:rsidRDefault="00CE313F" w:rsidP="007C2B01">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Ansi="宋体" w:cs="宋体" w:hint="eastAsia"/>
                <w:bCs/>
                <w:sz w:val="24"/>
                <w:szCs w:val="24"/>
              </w:rPr>
              <w:t>PR1</w:t>
            </w:r>
          </w:p>
        </w:tc>
        <w:tc>
          <w:tcPr>
            <w:tcW w:w="124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低</w:t>
            </w:r>
          </w:p>
        </w:tc>
        <w:tc>
          <w:tcPr>
            <w:tcW w:w="4854"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经天津农商银行客户风险承受能力评估为保守型、稳健型、平衡型、成长型、进取型的投资者</w:t>
            </w:r>
          </w:p>
        </w:tc>
      </w:tr>
      <w:tr w:rsidR="00CE313F" w:rsidTr="007C2B01">
        <w:trPr>
          <w:cantSplit/>
          <w:trHeight w:val="233"/>
        </w:trPr>
        <w:tc>
          <w:tcPr>
            <w:tcW w:w="817" w:type="dxa"/>
            <w:vMerge/>
            <w:tcBorders>
              <w:top w:val="single" w:sz="4" w:space="0" w:color="auto"/>
              <w:left w:val="single" w:sz="4" w:space="0" w:color="auto"/>
              <w:bottom w:val="single" w:sz="4" w:space="0" w:color="auto"/>
              <w:right w:val="single" w:sz="4" w:space="0" w:color="auto"/>
            </w:tcBorders>
            <w:vAlign w:val="center"/>
          </w:tcPr>
          <w:p w:rsidR="00CE313F" w:rsidRDefault="00CE313F" w:rsidP="007C2B01">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Ansi="宋体" w:cs="宋体" w:hint="eastAsia"/>
                <w:bCs/>
                <w:sz w:val="24"/>
                <w:szCs w:val="24"/>
              </w:rPr>
              <w:t>PR2</w:t>
            </w:r>
          </w:p>
        </w:tc>
        <w:tc>
          <w:tcPr>
            <w:tcW w:w="124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较低</w:t>
            </w:r>
          </w:p>
        </w:tc>
        <w:tc>
          <w:tcPr>
            <w:tcW w:w="4854" w:type="dxa"/>
            <w:tcBorders>
              <w:top w:val="single" w:sz="4" w:space="0" w:color="auto"/>
              <w:left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经天津农商银行客户风险承受能力评估为稳健型、平衡型、成长型、进取型的投资者</w:t>
            </w:r>
          </w:p>
        </w:tc>
      </w:tr>
      <w:tr w:rsidR="00CE313F" w:rsidTr="007C2B01">
        <w:trPr>
          <w:cantSplit/>
          <w:trHeight w:val="337"/>
        </w:trPr>
        <w:tc>
          <w:tcPr>
            <w:tcW w:w="817" w:type="dxa"/>
            <w:vMerge/>
            <w:tcBorders>
              <w:top w:val="single" w:sz="4" w:space="0" w:color="auto"/>
              <w:left w:val="single" w:sz="4" w:space="0" w:color="auto"/>
              <w:bottom w:val="single" w:sz="4" w:space="0" w:color="auto"/>
              <w:right w:val="single" w:sz="4" w:space="0" w:color="auto"/>
            </w:tcBorders>
            <w:vAlign w:val="center"/>
          </w:tcPr>
          <w:p w:rsidR="00CE313F" w:rsidRDefault="00CE313F" w:rsidP="007C2B01">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Ansi="宋体" w:cs="宋体" w:hint="eastAsia"/>
                <w:bCs/>
                <w:sz w:val="24"/>
                <w:szCs w:val="24"/>
              </w:rPr>
              <w:t>PR3</w:t>
            </w:r>
          </w:p>
        </w:tc>
        <w:tc>
          <w:tcPr>
            <w:tcW w:w="124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中</w:t>
            </w:r>
          </w:p>
        </w:tc>
        <w:tc>
          <w:tcPr>
            <w:tcW w:w="4854" w:type="dxa"/>
            <w:tcBorders>
              <w:top w:val="single" w:sz="4" w:space="0" w:color="auto"/>
              <w:left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经天津农商银行客户风险承受能力评估为平衡型、成长型、进取型的投资者</w:t>
            </w:r>
          </w:p>
        </w:tc>
      </w:tr>
      <w:tr w:rsidR="00CE313F" w:rsidTr="007C2B01">
        <w:trPr>
          <w:cantSplit/>
          <w:trHeight w:val="271"/>
        </w:trPr>
        <w:tc>
          <w:tcPr>
            <w:tcW w:w="817" w:type="dxa"/>
            <w:vMerge/>
            <w:tcBorders>
              <w:top w:val="single" w:sz="4" w:space="0" w:color="auto"/>
              <w:left w:val="single" w:sz="4" w:space="0" w:color="auto"/>
              <w:bottom w:val="single" w:sz="4" w:space="0" w:color="auto"/>
              <w:right w:val="single" w:sz="4" w:space="0" w:color="auto"/>
            </w:tcBorders>
            <w:vAlign w:val="center"/>
          </w:tcPr>
          <w:p w:rsidR="00CE313F" w:rsidRDefault="00CE313F" w:rsidP="007C2B01">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Ansi="宋体" w:cs="宋体" w:hint="eastAsia"/>
                <w:bCs/>
                <w:sz w:val="24"/>
                <w:szCs w:val="24"/>
              </w:rPr>
              <w:t>PR4</w:t>
            </w:r>
          </w:p>
        </w:tc>
        <w:tc>
          <w:tcPr>
            <w:tcW w:w="124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较高</w:t>
            </w:r>
          </w:p>
        </w:tc>
        <w:tc>
          <w:tcPr>
            <w:tcW w:w="4854" w:type="dxa"/>
            <w:tcBorders>
              <w:top w:val="single" w:sz="4" w:space="0" w:color="auto"/>
              <w:left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经天津农商银行客户风险承受能力评估为成长型、进取型的投资者</w:t>
            </w:r>
          </w:p>
        </w:tc>
      </w:tr>
      <w:tr w:rsidR="00CE313F" w:rsidTr="007C2B01">
        <w:trPr>
          <w:cantSplit/>
          <w:trHeight w:val="233"/>
        </w:trPr>
        <w:tc>
          <w:tcPr>
            <w:tcW w:w="817" w:type="dxa"/>
            <w:vMerge/>
            <w:tcBorders>
              <w:top w:val="single" w:sz="4" w:space="0" w:color="auto"/>
              <w:left w:val="single" w:sz="4" w:space="0" w:color="auto"/>
              <w:bottom w:val="single" w:sz="4" w:space="0" w:color="auto"/>
              <w:right w:val="single" w:sz="4" w:space="0" w:color="auto"/>
            </w:tcBorders>
            <w:vAlign w:val="center"/>
          </w:tcPr>
          <w:p w:rsidR="00CE313F" w:rsidRDefault="00CE313F" w:rsidP="007C2B01">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Ansi="宋体" w:cs="宋体" w:hint="eastAsia"/>
                <w:bCs/>
                <w:sz w:val="24"/>
                <w:szCs w:val="24"/>
              </w:rPr>
              <w:t>PR5</w:t>
            </w:r>
          </w:p>
        </w:tc>
        <w:tc>
          <w:tcPr>
            <w:tcW w:w="1241" w:type="dxa"/>
            <w:tcBorders>
              <w:top w:val="single" w:sz="4" w:space="0" w:color="auto"/>
              <w:left w:val="single" w:sz="4" w:space="0" w:color="auto"/>
              <w:bottom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高</w:t>
            </w:r>
          </w:p>
        </w:tc>
        <w:tc>
          <w:tcPr>
            <w:tcW w:w="4854" w:type="dxa"/>
            <w:tcBorders>
              <w:top w:val="single" w:sz="4" w:space="0" w:color="auto"/>
              <w:left w:val="single" w:sz="4" w:space="0" w:color="auto"/>
              <w:right w:val="single" w:sz="4" w:space="0" w:color="auto"/>
            </w:tcBorders>
          </w:tcPr>
          <w:p w:rsidR="00CE313F" w:rsidRDefault="00CE313F" w:rsidP="007C2B01">
            <w:pPr>
              <w:rPr>
                <w:rFonts w:ascii="仿宋_GB2312" w:eastAsia="仿宋_GB2312"/>
                <w:sz w:val="24"/>
                <w:szCs w:val="24"/>
              </w:rPr>
            </w:pPr>
            <w:r>
              <w:rPr>
                <w:rFonts w:ascii="仿宋_GB2312" w:eastAsia="仿宋_GB2312" w:hint="eastAsia"/>
                <w:bCs/>
                <w:sz w:val="24"/>
                <w:szCs w:val="24"/>
              </w:rPr>
              <w:t>经天津农商银行客户风险承受能力评估为进取型的投资者</w:t>
            </w:r>
          </w:p>
        </w:tc>
      </w:tr>
    </w:tbl>
    <w:p w:rsidR="00CE313F" w:rsidRDefault="00CE313F" w:rsidP="00CE313F">
      <w:pPr>
        <w:ind w:firstLineChars="200" w:firstLine="482"/>
        <w:rPr>
          <w:rFonts w:ascii="仿宋_GB2312" w:eastAsia="仿宋_GB2312" w:hint="eastAsia"/>
          <w:b/>
          <w:sz w:val="24"/>
        </w:rPr>
      </w:pPr>
      <w:r>
        <w:rPr>
          <w:rFonts w:ascii="仿宋_GB2312" w:eastAsia="仿宋_GB2312" w:hint="eastAsia"/>
          <w:b/>
          <w:sz w:val="24"/>
          <w:szCs w:val="24"/>
        </w:rPr>
        <w:t>在</w:t>
      </w:r>
      <w:r>
        <w:rPr>
          <w:rFonts w:ascii="仿宋_GB2312" w:eastAsia="仿宋_GB2312" w:hint="eastAsia"/>
          <w:b/>
          <w:sz w:val="24"/>
        </w:rPr>
        <w:t>您签署本理财产品的产品协议书前，应当仔细阅读本风险揭示书、理财客户权益须知及理财产品说明书的全部内容，同时向天津农商银行了解了本理财产品的其他相关信息，并自己独立做出是否认购本理财产品的决定。</w:t>
      </w:r>
    </w:p>
    <w:p w:rsidR="00CE313F" w:rsidRDefault="00CE313F" w:rsidP="00CE313F">
      <w:pPr>
        <w:ind w:firstLineChars="200" w:firstLine="482"/>
        <w:rPr>
          <w:rFonts w:ascii="仿宋_GB2312" w:eastAsia="仿宋_GB2312" w:hint="eastAsia"/>
          <w:b/>
          <w:sz w:val="24"/>
        </w:rPr>
      </w:pPr>
      <w:r>
        <w:rPr>
          <w:rFonts w:ascii="仿宋_GB2312" w:eastAsia="仿宋_GB2312" w:hint="eastAsia"/>
          <w:b/>
          <w:sz w:val="24"/>
        </w:rPr>
        <w:t>同意授权天津农商银行在法律法规等允许的前提下，根据监管部门等有权机关的要求，为履行反洗钱义务或为满足理财产品登记报备要求或为客户提供相关约定服务等需要，采集、使用及向监管部门等有权机关报送投资者信息，包括：姓名、性别、国籍、身份证明文件信息、身份信息、联系方式、财产信息、账户信息、金融交易信息及法律法规、监管要求及行业自律准则规定的等信息。您签署本揭示书、天津农村商业银行股份有限公司人民币理财产品协议书，并将资金委托给天津农商银行运作是您真实的意思表示。本风险揭示书、理财客户权益须知及相应天津农村商业银行股份有限公司人民币理财产品协议书、理财产品说明书将共同构成贵我双方理财合同的有效组成部分。</w:t>
      </w:r>
    </w:p>
    <w:p w:rsidR="00CE313F" w:rsidRDefault="00CE313F" w:rsidP="00CE313F">
      <w:pPr>
        <w:ind w:firstLineChars="200" w:firstLine="482"/>
        <w:rPr>
          <w:rFonts w:ascii="仿宋_GB2312" w:eastAsia="仿宋_GB2312"/>
          <w:b/>
          <w:sz w:val="24"/>
        </w:rPr>
      </w:pPr>
      <w:r>
        <w:rPr>
          <w:rFonts w:ascii="仿宋_GB2312" w:eastAsia="仿宋_GB2312" w:hint="eastAsia"/>
          <w:b/>
          <w:sz w:val="24"/>
          <w:u w:val="single"/>
        </w:rPr>
        <w:t>特别提示：</w:t>
      </w:r>
      <w:r>
        <w:rPr>
          <w:rFonts w:ascii="仿宋_GB2312" w:eastAsia="仿宋_GB2312" w:hint="eastAsia"/>
          <w:b/>
          <w:sz w:val="24"/>
        </w:rPr>
        <w:t>（1）如影响您风险承受能力的因素或在天津农商银行登记的个人信息（包括：姓名、性别、国籍、身份证明文件信息、身份信息、联系方式、财产信息、账户信息、金融交易信息及法律法规、监管要求及行业自律准则规定的等信息）发生变化，请及时重新进行风险承受能力评估或个人信息维护。（2）根据中国人民银行《金融机构客户身份识别和客户身份资料及交易记录保存管理办法》第十九条的规定，若您在我行留存的身份证件过期，您在我行开立的资金账户将受到管控，影响您的资金划转。请及时携带有效身份证件到我行任意网点或通过手机银行更新证件信息。</w:t>
      </w:r>
    </w:p>
    <w:p w:rsidR="00CE313F" w:rsidRDefault="00CE313F" w:rsidP="00CE313F">
      <w:pPr>
        <w:tabs>
          <w:tab w:val="left" w:pos="7938"/>
        </w:tabs>
        <w:spacing w:line="360" w:lineRule="auto"/>
        <w:ind w:right="360" w:firstLineChars="1294" w:firstLine="3106"/>
        <w:jc w:val="left"/>
        <w:rPr>
          <w:rFonts w:ascii="仿宋_GB2312" w:eastAsia="仿宋_GB2312" w:hint="eastAsia"/>
          <w:b/>
          <w:sz w:val="24"/>
          <w:szCs w:val="24"/>
        </w:rPr>
      </w:pPr>
      <w:r>
        <w:rPr>
          <w:rFonts w:ascii="仿宋_GB2312" w:eastAsia="仿宋_GB2312" w:hint="eastAsia"/>
          <w:sz w:val="24"/>
          <w:szCs w:val="24"/>
        </w:rPr>
        <w:lastRenderedPageBreak/>
        <w:t>风险提示方： 天津农村商业银行股份有限公司</w:t>
      </w:r>
    </w:p>
    <w:p w:rsidR="00CE313F" w:rsidRDefault="00CE313F" w:rsidP="00CE313F">
      <w:pPr>
        <w:tabs>
          <w:tab w:val="left" w:pos="7938"/>
        </w:tabs>
        <w:spacing w:line="360" w:lineRule="auto"/>
        <w:ind w:right="360" w:firstLineChars="1294" w:firstLine="3118"/>
        <w:jc w:val="left"/>
        <w:rPr>
          <w:rFonts w:ascii="仿宋_GB2312" w:eastAsia="仿宋_GB2312" w:hint="eastAsia"/>
          <w:b/>
          <w:sz w:val="24"/>
          <w:szCs w:val="24"/>
        </w:rPr>
      </w:pPr>
    </w:p>
    <w:p w:rsidR="00CE313F" w:rsidRDefault="00CE313F" w:rsidP="00CE313F">
      <w:pPr>
        <w:ind w:firstLineChars="1150" w:firstLine="3233"/>
        <w:rPr>
          <w:rFonts w:ascii="仿宋_GB2312" w:eastAsia="仿宋_GB2312"/>
          <w:b/>
          <w:sz w:val="28"/>
          <w:szCs w:val="28"/>
          <w:u w:val="single"/>
        </w:rPr>
      </w:pPr>
      <w:r>
        <w:rPr>
          <w:rFonts w:ascii="仿宋_GB2312" w:eastAsia="仿宋_GB2312" w:hint="eastAsia"/>
          <w:b/>
          <w:sz w:val="28"/>
          <w:szCs w:val="28"/>
          <w:u w:val="single"/>
        </w:rPr>
        <w:t>客户确认栏</w:t>
      </w:r>
    </w:p>
    <w:p w:rsidR="00CE313F" w:rsidRDefault="00CE313F" w:rsidP="00CE313F">
      <w:pPr>
        <w:spacing w:line="360" w:lineRule="auto"/>
        <w:ind w:firstLineChars="200" w:firstLine="560"/>
        <w:rPr>
          <w:rFonts w:ascii="仿宋_GB2312" w:eastAsia="仿宋_GB2312"/>
          <w:b/>
          <w:sz w:val="28"/>
          <w:szCs w:val="28"/>
        </w:rPr>
      </w:pPr>
      <w:r>
        <w:rPr>
          <w:rFonts w:ascii="仿宋_GB2312" w:eastAsia="仿宋_GB2312" w:hint="eastAsia"/>
          <w:sz w:val="28"/>
          <w:szCs w:val="28"/>
        </w:rPr>
        <w:t>本人经天津农商银行风险承受能力评估，在    年   月    日知悉并确认本人当前有效的风险承受能力类型为</w:t>
      </w:r>
      <w:r>
        <w:rPr>
          <w:rFonts w:ascii="仿宋_GB2312" w:eastAsia="仿宋_GB2312" w:hint="eastAsia"/>
          <w:sz w:val="28"/>
          <w:szCs w:val="28"/>
          <w:u w:val="single"/>
        </w:rPr>
        <w:t xml:space="preserve">        型（由客户填写）</w:t>
      </w:r>
      <w:r>
        <w:rPr>
          <w:rFonts w:ascii="仿宋_GB2312" w:eastAsia="仿宋_GB2312" w:hint="eastAsia"/>
          <w:sz w:val="28"/>
          <w:szCs w:val="28"/>
        </w:rPr>
        <w:t>，适合□/不适合□购买本系列理财产品。</w:t>
      </w:r>
      <w:r>
        <w:rPr>
          <w:rFonts w:ascii="仿宋_GB2312" w:eastAsia="仿宋_GB2312" w:hint="eastAsia"/>
          <w:b/>
          <w:sz w:val="32"/>
          <w:szCs w:val="32"/>
        </w:rPr>
        <w:t>本人确认天津农商银行相关业务人员对于理财产品销售文件中限制本人权利、增加本人义务以及有关免除、限制天津农商银行责任或天津农商银行单方面拥有某些权利的条款已向本人予以说明，本人已经完全理解并自愿接受。</w:t>
      </w:r>
    </w:p>
    <w:p w:rsidR="00CE313F" w:rsidRDefault="00CE313F" w:rsidP="00CE313F">
      <w:pPr>
        <w:spacing w:line="360" w:lineRule="auto"/>
        <w:ind w:firstLineChars="150" w:firstLine="420"/>
        <w:rPr>
          <w:rFonts w:ascii="仿宋_GB2312" w:eastAsia="仿宋_GB2312"/>
          <w:sz w:val="28"/>
          <w:szCs w:val="28"/>
        </w:rPr>
      </w:pPr>
      <w:r>
        <w:rPr>
          <w:rFonts w:ascii="仿宋_GB2312" w:eastAsia="仿宋_GB2312" w:hint="eastAsia"/>
          <w:sz w:val="28"/>
          <w:szCs w:val="28"/>
        </w:rPr>
        <w:t>（客户需全文抄录以下文字以完成确认：</w:t>
      </w:r>
      <w:r>
        <w:rPr>
          <w:rFonts w:ascii="仿宋_GB2312" w:eastAsia="仿宋_GB2312" w:hint="eastAsia"/>
          <w:b/>
          <w:sz w:val="32"/>
          <w:szCs w:val="32"/>
        </w:rPr>
        <w:t>本人已阅读风险揭示，愿意承担投资风险。</w:t>
      </w:r>
      <w:r>
        <w:rPr>
          <w:rFonts w:ascii="仿宋_GB2312" w:eastAsia="仿宋_GB2312" w:hint="eastAsia"/>
          <w:sz w:val="30"/>
          <w:szCs w:val="30"/>
        </w:rPr>
        <w:t xml:space="preserve">） </w:t>
      </w:r>
    </w:p>
    <w:p w:rsidR="00CE313F" w:rsidRDefault="00CE313F" w:rsidP="00CE313F">
      <w:pPr>
        <w:ind w:firstLineChars="150" w:firstLine="420"/>
        <w:rPr>
          <w:rFonts w:ascii="仿宋_GB2312" w:eastAsia="仿宋_GB2312"/>
          <w:sz w:val="28"/>
          <w:szCs w:val="28"/>
        </w:rPr>
      </w:pPr>
    </w:p>
    <w:p w:rsidR="00CE313F" w:rsidRDefault="00CE313F" w:rsidP="00CE313F">
      <w:pPr>
        <w:ind w:firstLineChars="200" w:firstLine="560"/>
        <w:rPr>
          <w:rFonts w:ascii="仿宋_GB2312" w:eastAsia="仿宋_GB2312"/>
          <w:sz w:val="28"/>
          <w:szCs w:val="28"/>
          <w:u w:val="single"/>
        </w:rPr>
      </w:pPr>
      <w:r>
        <w:rPr>
          <w:rFonts w:ascii="仿宋_GB2312" w:eastAsia="仿宋_GB2312" w:hint="eastAsia"/>
          <w:sz w:val="28"/>
          <w:szCs w:val="28"/>
          <w:u w:val="single"/>
        </w:rPr>
        <w:t xml:space="preserve">                                                                                </w:t>
      </w:r>
    </w:p>
    <w:p w:rsidR="00CE313F" w:rsidRDefault="00CE313F" w:rsidP="00CE313F">
      <w:pPr>
        <w:rPr>
          <w:rFonts w:ascii="仿宋_GB2312" w:eastAsia="仿宋_GB2312"/>
          <w:sz w:val="28"/>
          <w:szCs w:val="28"/>
          <w:u w:val="single"/>
        </w:rPr>
      </w:pPr>
    </w:p>
    <w:p w:rsidR="00CE313F" w:rsidRDefault="00CE313F" w:rsidP="00CE313F">
      <w:pPr>
        <w:ind w:firstLineChars="200" w:firstLine="560"/>
        <w:rPr>
          <w:rFonts w:ascii="仿宋_GB2312" w:eastAsia="仿宋_GB2312"/>
          <w:sz w:val="28"/>
          <w:szCs w:val="28"/>
          <w:u w:val="single"/>
        </w:rPr>
      </w:pPr>
      <w:r>
        <w:rPr>
          <w:rFonts w:ascii="仿宋_GB2312" w:eastAsia="仿宋_GB2312" w:hint="eastAsia"/>
          <w:sz w:val="28"/>
          <w:szCs w:val="28"/>
          <w:u w:val="single"/>
        </w:rPr>
        <w:t xml:space="preserve">                                                                     </w:t>
      </w:r>
    </w:p>
    <w:p w:rsidR="00CE313F" w:rsidRDefault="00CE313F" w:rsidP="00CE313F">
      <w:pPr>
        <w:rPr>
          <w:rFonts w:ascii="仿宋_GB2312" w:eastAsia="仿宋_GB2312"/>
          <w:sz w:val="28"/>
          <w:szCs w:val="28"/>
          <w:u w:val="single"/>
        </w:rPr>
      </w:pPr>
    </w:p>
    <w:p w:rsidR="00CE313F" w:rsidRDefault="00CE313F" w:rsidP="00CE313F">
      <w:pPr>
        <w:ind w:firstLineChars="200" w:firstLine="560"/>
        <w:rPr>
          <w:rFonts w:ascii="仿宋_GB2312" w:eastAsia="仿宋_GB2312"/>
          <w:sz w:val="28"/>
          <w:szCs w:val="28"/>
          <w:u w:val="single"/>
        </w:rPr>
      </w:pPr>
      <w:r>
        <w:rPr>
          <w:rFonts w:ascii="仿宋_GB2312" w:eastAsia="仿宋_GB2312" w:hint="eastAsia"/>
          <w:sz w:val="28"/>
          <w:szCs w:val="28"/>
          <w:u w:val="single"/>
        </w:rPr>
        <w:t xml:space="preserve">                                                                 </w:t>
      </w:r>
    </w:p>
    <w:p w:rsidR="00CE313F" w:rsidRDefault="00CE313F" w:rsidP="00CE313F">
      <w:pPr>
        <w:ind w:firstLineChars="200" w:firstLine="560"/>
        <w:rPr>
          <w:rFonts w:ascii="仿宋_GB2312" w:eastAsia="仿宋_GB2312"/>
          <w:sz w:val="28"/>
          <w:szCs w:val="28"/>
          <w:u w:val="single"/>
        </w:rPr>
      </w:pPr>
    </w:p>
    <w:p w:rsidR="00CE313F" w:rsidRDefault="00CE313F" w:rsidP="00CE313F">
      <w:pPr>
        <w:ind w:right="840" w:firstLineChars="200" w:firstLine="560"/>
        <w:jc w:val="center"/>
        <w:rPr>
          <w:rFonts w:ascii="仿宋_GB2312" w:eastAsia="仿宋_GB2312"/>
          <w:sz w:val="24"/>
          <w:szCs w:val="24"/>
        </w:rPr>
      </w:pPr>
      <w:r>
        <w:rPr>
          <w:rFonts w:ascii="仿宋_GB2312" w:eastAsia="仿宋_GB2312" w:hint="eastAsia"/>
          <w:sz w:val="28"/>
          <w:szCs w:val="28"/>
        </w:rPr>
        <w:t xml:space="preserve">                                   </w:t>
      </w:r>
      <w:r>
        <w:rPr>
          <w:rFonts w:ascii="仿宋_GB2312" w:eastAsia="仿宋_GB2312" w:hint="eastAsia"/>
          <w:sz w:val="24"/>
          <w:szCs w:val="24"/>
        </w:rPr>
        <w:t>确认人（签字）：</w:t>
      </w:r>
    </w:p>
    <w:p w:rsidR="00CE313F" w:rsidRDefault="00CE313F" w:rsidP="00CE313F">
      <w:pPr>
        <w:ind w:right="1080" w:firstLineChars="2650" w:firstLine="6360"/>
        <w:rPr>
          <w:rFonts w:ascii="仿宋_GB2312" w:eastAsia="仿宋_GB2312"/>
          <w:sz w:val="24"/>
          <w:szCs w:val="24"/>
        </w:rPr>
      </w:pPr>
    </w:p>
    <w:p w:rsidR="00CE313F" w:rsidRDefault="00CE313F" w:rsidP="00CE313F">
      <w:pPr>
        <w:ind w:right="1080" w:firstLineChars="2750" w:firstLine="6600"/>
        <w:rPr>
          <w:rFonts w:ascii="仿宋_GB2312" w:eastAsia="仿宋_GB2312"/>
          <w:sz w:val="28"/>
          <w:szCs w:val="28"/>
        </w:rPr>
      </w:pPr>
      <w:r>
        <w:rPr>
          <w:rFonts w:ascii="仿宋_GB2312" w:eastAsia="仿宋_GB2312" w:hint="eastAsia"/>
          <w:sz w:val="24"/>
          <w:szCs w:val="24"/>
        </w:rPr>
        <w:t xml:space="preserve">日期： </w:t>
      </w:r>
      <w:r>
        <w:rPr>
          <w:rFonts w:ascii="仿宋_GB2312" w:eastAsia="仿宋_GB2312" w:hint="eastAsia"/>
          <w:sz w:val="28"/>
          <w:szCs w:val="28"/>
        </w:rPr>
        <w:t xml:space="preserve">  </w:t>
      </w:r>
    </w:p>
    <w:p w:rsidR="00CE313F" w:rsidRDefault="00CE313F" w:rsidP="00CE313F">
      <w:pPr>
        <w:ind w:right="120"/>
        <w:jc w:val="center"/>
        <w:rPr>
          <w:rFonts w:ascii="仿宋_GB2312" w:eastAsia="仿宋_GB2312"/>
          <w:b/>
          <w:sz w:val="28"/>
          <w:szCs w:val="28"/>
        </w:rPr>
      </w:pPr>
    </w:p>
    <w:p w:rsidR="00CE313F" w:rsidRDefault="00CE313F" w:rsidP="00CE313F">
      <w:pPr>
        <w:tabs>
          <w:tab w:val="left" w:pos="851"/>
        </w:tabs>
        <w:ind w:right="120"/>
        <w:jc w:val="center"/>
        <w:rPr>
          <w:rFonts w:ascii="仿宋_GB2312" w:eastAsia="仿宋_GB2312"/>
          <w:b/>
          <w:sz w:val="28"/>
          <w:szCs w:val="28"/>
        </w:rPr>
      </w:pPr>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-239395</wp:posOffset>
                </wp:positionH>
                <wp:positionV relativeFrom="paragraph">
                  <wp:posOffset>455930</wp:posOffset>
                </wp:positionV>
                <wp:extent cx="5626735" cy="2649220"/>
                <wp:effectExtent l="0" t="0" r="12065" b="17780"/>
                <wp:wrapSquare wrapText="bothSides"/>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735" cy="2649220"/>
                        </a:xfrm>
                        <a:prstGeom prst="rect">
                          <a:avLst/>
                        </a:prstGeom>
                        <a:solidFill>
                          <a:srgbClr val="FFFFFF"/>
                        </a:solidFill>
                        <a:ln w="9525">
                          <a:solidFill>
                            <a:srgbClr val="000000"/>
                          </a:solidFill>
                          <a:miter lim="800000"/>
                          <a:headEnd/>
                          <a:tailEnd/>
                        </a:ln>
                      </wps:spPr>
                      <wps:txbx>
                        <w:txbxContent>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银行销售的理财产品与存款存在明显区别，具有一定的风险；理财非存款、产品有风险、投资须谨慎！</w:t>
                            </w:r>
                          </w:p>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一、本理财产品具有市场风险、信用风险、政策风险、流动性风险等投资风险，请投资者认真阅读风险揭示书内容；</w:t>
                            </w:r>
                          </w:p>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二、天津农商银行郑重提示：在购买理财产品前，投资者应确保自己完全明白该项投资的性质和所涉及的风险，详细了解和审慎评估该理财产品的资金投资方向、风险类型等基本情况，在慎重考虑后自行决定购买与自身风险承受能力和资产管理需求匹配的理财产品；</w:t>
                            </w:r>
                          </w:p>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三、在购买理财产品后，投资者应随时关注该理财产品的信息披露情况，及时获取相关信息；</w:t>
                            </w:r>
                          </w:p>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四、本理财产品仅向依据中华人民共和国有关法律法规及本产品说明书规定可以购买本理财产品的合规投资者发售；</w:t>
                            </w:r>
                          </w:p>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五、您的本金有可能会因市场变动蒙受重大损失，您应充分认识投资风险，谨慎投资；</w:t>
                            </w:r>
                          </w:p>
                          <w:p w:rsidR="00CE313F" w:rsidRDefault="00CE313F" w:rsidP="00CE313F">
                            <w:pPr>
                              <w:tabs>
                                <w:tab w:val="left" w:pos="1271"/>
                              </w:tabs>
                              <w:jc w:val="left"/>
                              <w:rPr>
                                <w:rFonts w:ascii="楷体_GB2312" w:eastAsia="楷体_GB2312" w:hAnsi="宋体" w:cs="宋体"/>
                                <w:b/>
                                <w:color w:val="000000"/>
                                <w:kern w:val="0"/>
                                <w:sz w:val="18"/>
                                <w:szCs w:val="18"/>
                                <w:u w:val="single"/>
                              </w:rPr>
                            </w:pPr>
                            <w:r>
                              <w:rPr>
                                <w:rFonts w:ascii="楷体_GB2312" w:eastAsia="楷体_GB2312" w:hAnsi="宋体" w:cs="宋体" w:hint="eastAsia"/>
                                <w:b/>
                                <w:color w:val="000000"/>
                                <w:kern w:val="0"/>
                                <w:sz w:val="18"/>
                                <w:szCs w:val="18"/>
                                <w:u w:val="single"/>
                              </w:rPr>
                              <w:t>六、在产品存续期内，如因国家法律法规、监管规定发生变化，或是出于维持本产品正常运营的需要，在不损害投资者利益的前提下，天津农商银行有权单方对本产品说明书进行修订，天津农商银行决定修订的，将提前两个工作日在官网（www.trcbank.com.cn）上公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7" style="position:absolute;left:0;text-align:left;margin-left:-18.85pt;margin-top:35.9pt;width:443.05pt;height:20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">
                <v:textbox>
                  <w:txbxContent>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银行销售的理财产品与存款存在明显区别，具有一定的风险；理财非存款、产品有风险、投资须谨慎！</w:t>
                      </w:r>
                    </w:p>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一、本理财产品具有市场风险、信用风险、政策风险、流动性风险等投资风险，请投资者认真阅读风险揭示书内容；</w:t>
                      </w:r>
                    </w:p>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二、天津农商银行郑重提示：在购买理财产品前，投资者应确保自己完全明白该项投资的性质和所涉及的风险，详细了解和审慎评估该理财产品的资金投资方向、风险类型等基本情况，在慎重考虑后自行决定购买与自身风险承受能力和资产管理需求匹配的理财产品；</w:t>
                      </w:r>
                    </w:p>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三、在购买理财产品后，投资者应随时关注该理财产品的信息披露情况，及时获取相关信息；</w:t>
                      </w:r>
                    </w:p>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四、本理财产品仅向依据中华人民共和国有关法律法规及本产品说明书规定可以购买本理财产品的合规投资者发售；</w:t>
                      </w:r>
                    </w:p>
                    <w:p w:rsidR="00CE313F" w:rsidRDefault="00CE313F" w:rsidP="00CE313F">
                      <w:pPr>
                        <w:tabs>
                          <w:tab w:val="left" w:pos="1271"/>
                        </w:tabs>
                        <w:jc w:val="left"/>
                        <w:rPr>
                          <w:rFonts w:ascii="楷体_GB2312" w:eastAsia="楷体_GB2312" w:hAnsi="宋体" w:cs="宋体" w:hint="eastAsia"/>
                          <w:b/>
                          <w:color w:val="000000"/>
                          <w:kern w:val="0"/>
                          <w:sz w:val="18"/>
                          <w:szCs w:val="18"/>
                          <w:u w:val="single"/>
                        </w:rPr>
                      </w:pPr>
                      <w:r>
                        <w:rPr>
                          <w:rFonts w:ascii="楷体_GB2312" w:eastAsia="楷体_GB2312" w:hAnsi="宋体" w:cs="宋体" w:hint="eastAsia"/>
                          <w:b/>
                          <w:color w:val="000000"/>
                          <w:kern w:val="0"/>
                          <w:sz w:val="18"/>
                          <w:szCs w:val="18"/>
                          <w:u w:val="single"/>
                        </w:rPr>
                        <w:t>五、您的本金有可能会因市场变动蒙受重大损失，您应充分认识投资风险，谨慎投资；</w:t>
                      </w:r>
                    </w:p>
                    <w:p w:rsidR="00CE313F" w:rsidRDefault="00CE313F" w:rsidP="00CE313F">
                      <w:pPr>
                        <w:tabs>
                          <w:tab w:val="left" w:pos="1271"/>
                        </w:tabs>
                        <w:jc w:val="left"/>
                        <w:rPr>
                          <w:rFonts w:ascii="楷体_GB2312" w:eastAsia="楷体_GB2312" w:hAnsi="宋体" w:cs="宋体"/>
                          <w:b/>
                          <w:color w:val="000000"/>
                          <w:kern w:val="0"/>
                          <w:sz w:val="18"/>
                          <w:szCs w:val="18"/>
                          <w:u w:val="single"/>
                        </w:rPr>
                      </w:pPr>
                      <w:r>
                        <w:rPr>
                          <w:rFonts w:ascii="楷体_GB2312" w:eastAsia="楷体_GB2312" w:hAnsi="宋体" w:cs="宋体" w:hint="eastAsia"/>
                          <w:b/>
                          <w:color w:val="000000"/>
                          <w:kern w:val="0"/>
                          <w:sz w:val="18"/>
                          <w:szCs w:val="18"/>
                          <w:u w:val="single"/>
                        </w:rPr>
                        <w:t>六、在产品存续期内，如因国家法律法规、监管规定发生变化，或是出于维持本产品正常运营的需要，在不损害投资者利益的前提下，天津农商银行有权单方对本产品说明书进行修订，天津农商银行决定修订的，将提前两个工作日在官网（www.trcbank.com.cn）上公告。</w:t>
                      </w:r>
                    </w:p>
                  </w:txbxContent>
                </v:textbox>
                <w10:wrap type="square"/>
              </v:rect>
            </w:pict>
          </mc:Fallback>
        </mc:AlternateContent>
      </w:r>
      <w:r>
        <w:rPr>
          <w:rFonts w:ascii="仿宋_GB2312" w:eastAsia="仿宋_GB2312" w:hint="eastAsia"/>
          <w:b/>
          <w:sz w:val="28"/>
          <w:szCs w:val="28"/>
        </w:rPr>
        <w:t>天津农商银行“吉享人生”系列净值型人民币理财产品说明书</w:t>
      </w:r>
    </w:p>
    <w:p w:rsidR="00CE313F" w:rsidRDefault="00CE313F" w:rsidP="00CE313F">
      <w:pPr>
        <w:tabs>
          <w:tab w:val="left" w:pos="851"/>
        </w:tabs>
        <w:ind w:right="120" w:firstLineChars="196" w:firstLine="472"/>
        <w:rPr>
          <w:rFonts w:ascii="仿宋_GB2312" w:eastAsia="仿宋_GB2312"/>
          <w:b/>
          <w:bCs/>
          <w:sz w:val="24"/>
          <w:szCs w:val="24"/>
        </w:rPr>
      </w:pPr>
      <w:r>
        <w:rPr>
          <w:rFonts w:ascii="仿宋_GB2312" w:eastAsia="仿宋_GB2312" w:hint="eastAsia"/>
          <w:b/>
          <w:bCs/>
          <w:sz w:val="24"/>
          <w:szCs w:val="24"/>
        </w:rPr>
        <w:t>一、产品概述</w:t>
      </w:r>
    </w:p>
    <w:tbl>
      <w:tblPr>
        <w:tblW w:w="8865"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6"/>
        <w:gridCol w:w="7229"/>
      </w:tblGrid>
      <w:tr w:rsidR="00CE313F" w:rsidTr="007C2B01">
        <w:trPr>
          <w:trHeight w:val="315"/>
        </w:trPr>
        <w:tc>
          <w:tcPr>
            <w:tcW w:w="16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产品名称</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firstLineChars="200" w:firstLine="480"/>
              <w:rPr>
                <w:rFonts w:ascii="仿宋_GB2312" w:eastAsia="仿宋_GB2312"/>
                <w:sz w:val="24"/>
                <w:szCs w:val="24"/>
                <w:highlight w:val="yellow"/>
              </w:rPr>
            </w:pPr>
            <w:r>
              <w:rPr>
                <w:rFonts w:ascii="仿宋_GB2312" w:eastAsia="仿宋_GB2312" w:hint="eastAsia"/>
                <w:sz w:val="24"/>
                <w:szCs w:val="24"/>
              </w:rPr>
              <w:t>吉享人生第25002期净值型人民币理财产品</w:t>
            </w:r>
          </w:p>
        </w:tc>
      </w:tr>
      <w:tr w:rsidR="00CE313F" w:rsidTr="007C2B01">
        <w:trPr>
          <w:trHeight w:val="184"/>
        </w:trPr>
        <w:tc>
          <w:tcPr>
            <w:tcW w:w="1636" w:type="dxa"/>
            <w:vMerge/>
            <w:tcBorders>
              <w:top w:val="single" w:sz="4" w:space="0" w:color="auto"/>
              <w:left w:val="single" w:sz="4" w:space="0" w:color="auto"/>
              <w:bottom w:val="single" w:sz="4" w:space="0" w:color="auto"/>
              <w:right w:val="single" w:sz="4" w:space="0" w:color="auto"/>
            </w:tcBorders>
            <w:vAlign w:val="center"/>
          </w:tcPr>
          <w:p w:rsidR="00CE313F" w:rsidRDefault="00CE313F" w:rsidP="007C2B01">
            <w:pPr>
              <w:widowControl/>
              <w:tabs>
                <w:tab w:val="left" w:pos="851"/>
              </w:tabs>
              <w:rPr>
                <w:rFonts w:ascii="仿宋_GB2312" w:eastAsia="仿宋_GB2312"/>
                <w:sz w:val="24"/>
                <w:szCs w:val="24"/>
              </w:rPr>
            </w:pP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firstLineChars="200" w:firstLine="480"/>
              <w:jc w:val="left"/>
              <w:rPr>
                <w:rFonts w:ascii="仿宋_GB2312" w:eastAsia="仿宋_GB2312" w:hint="eastAsia"/>
                <w:sz w:val="24"/>
                <w:szCs w:val="24"/>
                <w:highlight w:val="yellow"/>
              </w:rPr>
            </w:pPr>
            <w:r>
              <w:rPr>
                <w:rFonts w:ascii="仿宋_GB2312" w:eastAsia="仿宋_GB2312" w:hint="eastAsia"/>
                <w:sz w:val="24"/>
                <w:szCs w:val="24"/>
              </w:rPr>
              <w:t>代码：</w:t>
            </w:r>
            <w:r>
              <w:rPr>
                <w:rFonts w:ascii="仿宋_GB2312" w:eastAsia="仿宋_GB2312"/>
                <w:sz w:val="24"/>
                <w:szCs w:val="24"/>
              </w:rPr>
              <w:t>JXRS</w:t>
            </w:r>
            <w:r>
              <w:rPr>
                <w:rFonts w:ascii="仿宋_GB2312" w:eastAsia="仿宋_GB2312" w:hint="eastAsia"/>
                <w:sz w:val="24"/>
                <w:szCs w:val="24"/>
              </w:rPr>
              <w:t>25002</w:t>
            </w:r>
          </w:p>
        </w:tc>
      </w:tr>
      <w:tr w:rsidR="00CE313F" w:rsidTr="007C2B01">
        <w:trPr>
          <w:trHeight w:val="134"/>
        </w:trPr>
        <w:tc>
          <w:tcPr>
            <w:tcW w:w="1636" w:type="dxa"/>
            <w:vMerge/>
            <w:tcBorders>
              <w:top w:val="single" w:sz="4" w:space="0" w:color="auto"/>
              <w:left w:val="single" w:sz="4" w:space="0" w:color="auto"/>
              <w:bottom w:val="single" w:sz="4" w:space="0" w:color="auto"/>
              <w:right w:val="single" w:sz="4" w:space="0" w:color="auto"/>
            </w:tcBorders>
            <w:vAlign w:val="center"/>
          </w:tcPr>
          <w:p w:rsidR="00CE313F" w:rsidRDefault="00CE313F" w:rsidP="007C2B01">
            <w:pPr>
              <w:widowControl/>
              <w:tabs>
                <w:tab w:val="left" w:pos="851"/>
              </w:tabs>
              <w:rPr>
                <w:rFonts w:ascii="仿宋_GB2312" w:eastAsia="仿宋_GB2312"/>
                <w:sz w:val="24"/>
                <w:szCs w:val="24"/>
              </w:rPr>
            </w:pP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firstLineChars="200" w:firstLine="480"/>
              <w:jc w:val="left"/>
              <w:rPr>
                <w:rFonts w:ascii="仿宋_GB2312" w:eastAsia="仿宋_GB2312"/>
                <w:sz w:val="24"/>
                <w:szCs w:val="24"/>
              </w:rPr>
            </w:pPr>
            <w:r>
              <w:rPr>
                <w:rFonts w:ascii="仿宋_GB2312" w:eastAsia="仿宋_GB2312" w:hint="eastAsia"/>
                <w:sz w:val="24"/>
                <w:szCs w:val="24"/>
              </w:rPr>
              <w:t>理财信息登记系统登记编码：</w:t>
            </w:r>
            <w:r>
              <w:rPr>
                <w:rFonts w:ascii="仿宋_GB2312" w:eastAsia="仿宋_GB2312"/>
                <w:sz w:val="24"/>
                <w:szCs w:val="24"/>
              </w:rPr>
              <w:t>C11044</w:t>
            </w:r>
            <w:r>
              <w:rPr>
                <w:rFonts w:ascii="仿宋_GB2312" w:eastAsia="仿宋_GB2312" w:hint="eastAsia"/>
                <w:sz w:val="24"/>
                <w:szCs w:val="24"/>
              </w:rPr>
              <w:t>25000024。客户可依据此编码在中国理财（www.chinawealth.com.cn）查询该产品信息。</w:t>
            </w:r>
          </w:p>
        </w:tc>
      </w:tr>
      <w:tr w:rsidR="00CE313F" w:rsidTr="007C2B01">
        <w:trPr>
          <w:trHeight w:val="134"/>
        </w:trPr>
        <w:tc>
          <w:tcPr>
            <w:tcW w:w="1636"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tabs>
                <w:tab w:val="left" w:pos="851"/>
              </w:tabs>
              <w:ind w:right="120"/>
              <w:rPr>
                <w:rFonts w:ascii="仿宋_GB2312" w:eastAsia="仿宋_GB2312" w:hint="eastAsia"/>
                <w:sz w:val="24"/>
                <w:szCs w:val="24"/>
              </w:rPr>
            </w:pPr>
            <w:r>
              <w:rPr>
                <w:rFonts w:ascii="仿宋_GB2312" w:eastAsia="仿宋_GB2312" w:hint="eastAsia"/>
                <w:sz w:val="24"/>
                <w:szCs w:val="24"/>
              </w:rPr>
              <w:t>产品管理人</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firstLineChars="200" w:firstLine="480"/>
              <w:jc w:val="left"/>
              <w:rPr>
                <w:rFonts w:ascii="仿宋_GB2312" w:eastAsia="仿宋_GB2312" w:hint="eastAsia"/>
                <w:sz w:val="24"/>
                <w:szCs w:val="24"/>
              </w:rPr>
            </w:pPr>
            <w:r>
              <w:rPr>
                <w:rFonts w:ascii="仿宋_GB2312" w:eastAsia="仿宋_GB2312" w:hint="eastAsia"/>
                <w:sz w:val="24"/>
                <w:szCs w:val="24"/>
              </w:rPr>
              <w:t>天津农村商业银行股份有限公司</w:t>
            </w:r>
          </w:p>
        </w:tc>
      </w:tr>
      <w:tr w:rsidR="00CE313F" w:rsidTr="007C2B01">
        <w:trPr>
          <w:trHeight w:val="134"/>
        </w:trPr>
        <w:tc>
          <w:tcPr>
            <w:tcW w:w="1636"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发行方式</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firstLineChars="200" w:firstLine="480"/>
              <w:jc w:val="left"/>
              <w:rPr>
                <w:rFonts w:ascii="仿宋_GB2312" w:eastAsia="仿宋_GB2312"/>
                <w:sz w:val="24"/>
                <w:szCs w:val="24"/>
              </w:rPr>
            </w:pPr>
            <w:r>
              <w:rPr>
                <w:rFonts w:ascii="仿宋_GB2312" w:eastAsia="仿宋_GB2312" w:hint="eastAsia"/>
                <w:sz w:val="24"/>
                <w:szCs w:val="24"/>
              </w:rPr>
              <w:t>公募</w:t>
            </w:r>
          </w:p>
        </w:tc>
      </w:tr>
      <w:tr w:rsidR="00CE313F" w:rsidTr="007C2B01">
        <w:trPr>
          <w:trHeight w:val="274"/>
        </w:trPr>
        <w:tc>
          <w:tcPr>
            <w:tcW w:w="1636"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产品类型</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封闭式净值型（非保本浮动收益型）</w:t>
            </w:r>
          </w:p>
        </w:tc>
      </w:tr>
      <w:tr w:rsidR="00CE313F" w:rsidTr="007C2B01">
        <w:trPr>
          <w:trHeight w:val="274"/>
        </w:trPr>
        <w:tc>
          <w:tcPr>
            <w:tcW w:w="1636"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投资性质</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固定收益类，即投资于存款、债券等债权类资产的比例不低于80%</w:t>
            </w:r>
          </w:p>
        </w:tc>
      </w:tr>
      <w:tr w:rsidR="00CE313F" w:rsidTr="007C2B01">
        <w:trPr>
          <w:trHeight w:val="274"/>
        </w:trPr>
        <w:tc>
          <w:tcPr>
            <w:tcW w:w="1636" w:type="dxa"/>
            <w:tcBorders>
              <w:top w:val="single" w:sz="4" w:space="0" w:color="auto"/>
              <w:left w:val="single" w:sz="4" w:space="0" w:color="auto"/>
              <w:bottom w:val="single" w:sz="4" w:space="0" w:color="auto"/>
              <w:right w:val="single" w:sz="4" w:space="0" w:color="auto"/>
            </w:tcBorders>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销售渠道</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天津农商银行各营业网点、个人网银、手机银行、智能柜员机</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适合投资者</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经天津农商银行客户风险承受能力评估为稳健型、平衡型、成长型、进取型的个人客户。</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投资期限</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firstLineChars="200" w:firstLine="480"/>
              <w:rPr>
                <w:rFonts w:ascii="仿宋_GB2312" w:eastAsia="仿宋_GB2312"/>
                <w:sz w:val="24"/>
                <w:szCs w:val="24"/>
              </w:rPr>
            </w:pPr>
            <w:r>
              <w:rPr>
                <w:rFonts w:ascii="仿宋_GB2312" w:eastAsia="仿宋_GB2312" w:hint="eastAsia"/>
                <w:sz w:val="24"/>
                <w:szCs w:val="24"/>
              </w:rPr>
              <w:t>550天，实际理财天数：自本理财产品起始日至产品到期日（不含）或提前终止日（不含）期间的天数。</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投资币种</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人民币</w:t>
            </w:r>
          </w:p>
        </w:tc>
      </w:tr>
      <w:tr w:rsidR="00CE313F" w:rsidTr="007C2B01">
        <w:trPr>
          <w:cantSplit/>
          <w:trHeight w:val="342"/>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内部风险评级</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PR2，为较低风险产品。</w:t>
            </w:r>
          </w:p>
        </w:tc>
      </w:tr>
      <w:tr w:rsidR="00CE313F" w:rsidTr="007C2B01">
        <w:trPr>
          <w:cantSplit/>
          <w:trHeight w:val="324"/>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计划发行量</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50000万元</w:t>
            </w:r>
          </w:p>
        </w:tc>
      </w:tr>
      <w:tr w:rsidR="00CE313F" w:rsidTr="007C2B01">
        <w:trPr>
          <w:cantSplit/>
          <w:trHeight w:val="324"/>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募集期</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2025年2月24日-2025年3月9日18：30</w:t>
            </w:r>
          </w:p>
        </w:tc>
      </w:tr>
      <w:tr w:rsidR="00CE313F" w:rsidTr="007C2B01">
        <w:trPr>
          <w:trHeight w:val="270"/>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成立日</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2025年3月10日</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到期日</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2026年9月11日</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hint="eastAsia"/>
                <w:sz w:val="24"/>
                <w:szCs w:val="24"/>
              </w:rPr>
            </w:pPr>
            <w:r>
              <w:rPr>
                <w:rFonts w:ascii="仿宋_GB2312" w:eastAsia="仿宋_GB2312" w:hint="eastAsia"/>
                <w:sz w:val="24"/>
                <w:szCs w:val="24"/>
              </w:rPr>
              <w:t>产品认购</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1、产品募集期首日6：30至募集期末日18:30可以提交认购申请；募集期末日18:30前，已提交的认购申请可以撤单。</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2、募集期内，投资者认购资金冻结，认购资金在募集期内按银行活期存款利率计息，募集期内的利息不计入认购金额。产品成立日日启系统批量扣款认购本金，如扣款失败则投资者理财认购失败。</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3、本产品认购起点金额最低</w:t>
            </w:r>
            <w:r>
              <w:rPr>
                <w:rFonts w:ascii="仿宋_GB2312" w:eastAsia="仿宋_GB2312" w:hint="eastAsia"/>
                <w:sz w:val="24"/>
                <w:szCs w:val="24"/>
                <w:u w:val="single"/>
              </w:rPr>
              <w:t>1</w:t>
            </w:r>
            <w:r>
              <w:rPr>
                <w:rFonts w:ascii="仿宋_GB2312" w:eastAsia="仿宋_GB2312" w:hint="eastAsia"/>
                <w:sz w:val="24"/>
                <w:szCs w:val="24"/>
              </w:rPr>
              <w:t>万元，以0.1万元（1000元）整</w:t>
            </w:r>
            <w:r>
              <w:rPr>
                <w:rFonts w:ascii="仿宋_GB2312" w:eastAsia="仿宋_GB2312" w:hint="eastAsia"/>
                <w:sz w:val="24"/>
                <w:szCs w:val="24"/>
              </w:rPr>
              <w:lastRenderedPageBreak/>
              <w:t>数倍递增。</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4、本产品认购单位净值：1.0000元/份，认购份额=认购金额/认购单位净值。</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hint="eastAsia"/>
                <w:sz w:val="24"/>
                <w:szCs w:val="24"/>
              </w:rPr>
            </w:pPr>
            <w:r>
              <w:rPr>
                <w:rFonts w:ascii="仿宋_GB2312" w:eastAsia="仿宋_GB2312" w:hint="eastAsia"/>
                <w:sz w:val="24"/>
                <w:szCs w:val="24"/>
              </w:rPr>
              <w:lastRenderedPageBreak/>
              <w:t>产品成立</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19" w:firstLineChars="200" w:firstLine="480"/>
              <w:rPr>
                <w:rFonts w:ascii="仿宋_GB2312" w:eastAsia="仿宋_GB2312"/>
                <w:sz w:val="24"/>
                <w:szCs w:val="24"/>
              </w:rPr>
            </w:pPr>
            <w:r>
              <w:rPr>
                <w:rFonts w:ascii="仿宋_GB2312" w:eastAsia="仿宋_GB2312" w:hint="eastAsia"/>
                <w:sz w:val="24"/>
                <w:szCs w:val="24"/>
              </w:rPr>
              <w:t>在募集期内，募集金额达到2000万元，管理人即有权结束募集并提前成立，产品提前成立时管理人将发布公告并调整相关日期，产品最终规模以管理人实际募集规模为准。</w:t>
            </w:r>
          </w:p>
          <w:p w:rsidR="00CE313F" w:rsidRDefault="00CE313F" w:rsidP="007C2B01">
            <w:pPr>
              <w:tabs>
                <w:tab w:val="left" w:pos="851"/>
              </w:tabs>
              <w:ind w:right="119" w:firstLineChars="200" w:firstLine="480"/>
              <w:rPr>
                <w:rFonts w:ascii="仿宋_GB2312" w:eastAsia="仿宋_GB2312"/>
                <w:sz w:val="24"/>
                <w:szCs w:val="24"/>
              </w:rPr>
            </w:pPr>
            <w:r>
              <w:rPr>
                <w:rFonts w:ascii="仿宋_GB2312" w:eastAsia="仿宋_GB2312" w:hint="eastAsia"/>
                <w:sz w:val="24"/>
                <w:szCs w:val="24"/>
              </w:rPr>
              <w:t>如募集期结束后认购规模未达到计划发行量，管理人亦有权宣布产品成立，管理人将就募集相关日期和募集金额等调整事宜进行公告，产品最终规模以管理人实际募集规模为准。</w:t>
            </w:r>
          </w:p>
          <w:p w:rsidR="00CE313F" w:rsidRDefault="00CE313F" w:rsidP="007C2B01">
            <w:pPr>
              <w:tabs>
                <w:tab w:val="left" w:pos="851"/>
              </w:tabs>
              <w:ind w:right="120" w:firstLineChars="200" w:firstLine="480"/>
              <w:rPr>
                <w:rFonts w:ascii="仿宋_GB2312" w:eastAsia="仿宋_GB2312" w:hint="eastAsia"/>
                <w:sz w:val="24"/>
                <w:szCs w:val="24"/>
                <w:highlight w:val="yellow"/>
              </w:rPr>
            </w:pPr>
            <w:r>
              <w:rPr>
                <w:rFonts w:ascii="仿宋_GB2312" w:eastAsia="仿宋_GB2312" w:hint="eastAsia"/>
                <w:sz w:val="24"/>
                <w:szCs w:val="24"/>
              </w:rPr>
              <w:t>如产品未达募集规模，管理人有权宣布产品不成立，并于3个工作日内将产品本金退还至投资者指定账户。</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工作日</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国家法定工作日</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hint="eastAsia"/>
                <w:sz w:val="24"/>
                <w:szCs w:val="24"/>
              </w:rPr>
            </w:pPr>
            <w:r>
              <w:rPr>
                <w:rFonts w:ascii="仿宋_GB2312" w:eastAsia="仿宋_GB2312" w:hint="eastAsia"/>
                <w:sz w:val="24"/>
                <w:szCs w:val="24"/>
              </w:rPr>
              <w:t>存续期分红</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2"/>
              <w:rPr>
                <w:rFonts w:ascii="仿宋_GB2312" w:eastAsia="仿宋_GB2312" w:hint="eastAsia"/>
                <w:b/>
                <w:sz w:val="24"/>
                <w:szCs w:val="24"/>
              </w:rPr>
            </w:pPr>
            <w:r>
              <w:rPr>
                <w:rFonts w:ascii="仿宋_GB2312" w:eastAsia="仿宋_GB2312" w:hint="eastAsia"/>
                <w:b/>
                <w:sz w:val="24"/>
                <w:szCs w:val="24"/>
              </w:rPr>
              <w:t>在本产品成立运作满6个月后，每季末月的10日（如遇国家法定节假日、周六、周日则自动顺延至下一工作日）为收益分配基准日</w:t>
            </w:r>
            <w:r>
              <w:rPr>
                <w:rStyle w:val="ad"/>
                <w:rFonts w:ascii="仿宋_GB2312" w:eastAsia="仿宋_GB2312"/>
                <w:b/>
                <w:sz w:val="24"/>
                <w:szCs w:val="24"/>
              </w:rPr>
              <w:footnoteReference w:id="1"/>
            </w:r>
            <w:r>
              <w:rPr>
                <w:rFonts w:ascii="仿宋_GB2312" w:eastAsia="仿宋_GB2312" w:hint="eastAsia"/>
                <w:b/>
                <w:sz w:val="24"/>
                <w:szCs w:val="24"/>
              </w:rPr>
              <w:t>，当收益分配基准日本理财产品单位净值大于1的条件下，管理人可根据产品实际运作情况决定是否分红。如果进行分红，分配方式为现金分红。分红金额于收益分配基准日后的3个工作日内划转至投资者指定账户，分红在途资金无存款利息及理财收益。</w:t>
            </w:r>
          </w:p>
          <w:p w:rsidR="00CE313F" w:rsidRDefault="00CE313F" w:rsidP="007C2B01">
            <w:pPr>
              <w:tabs>
                <w:tab w:val="left" w:pos="851"/>
              </w:tabs>
              <w:ind w:right="120" w:firstLineChars="200" w:firstLine="482"/>
              <w:rPr>
                <w:rFonts w:ascii="仿宋_GB2312" w:eastAsia="仿宋_GB2312" w:hint="eastAsia"/>
                <w:sz w:val="24"/>
                <w:szCs w:val="24"/>
              </w:rPr>
            </w:pPr>
            <w:r>
              <w:rPr>
                <w:rFonts w:ascii="仿宋_GB2312" w:eastAsia="仿宋_GB2312" w:hint="eastAsia"/>
                <w:b/>
                <w:sz w:val="24"/>
                <w:szCs w:val="24"/>
              </w:rPr>
              <w:t>产品分红具体方案以分红公告为准。在收益分配基准日后3个工作日内，管理人通过天津农商银行官网以公告形式，对本理财产品是否分红、具体分红方案（如有）进行信息披露。</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hint="eastAsia"/>
                <w:sz w:val="24"/>
                <w:szCs w:val="24"/>
              </w:rPr>
            </w:pPr>
            <w:r>
              <w:rPr>
                <w:rFonts w:ascii="仿宋_GB2312" w:eastAsia="仿宋_GB2312" w:hint="eastAsia"/>
                <w:sz w:val="24"/>
                <w:szCs w:val="24"/>
              </w:rPr>
              <w:t>产品提前赎回</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1、提前赎回条件：投资者因罹患重大疾病、购房等需要时，可申请提前赎回本理财产品。</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2、赎回程序：（1）投资者在满足提前赎回的条件下，在管理人营业网点办理本产品的提前赎回，并提交证明材料。（2）受理提前赎回业务的营业网点收到完整有效材料后，在【5】个工作日内完成提前赎回申请审查，并通知投资者审查结果。</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3、投资者需要提供的证明材料（包括但不限于以下文件，具体以管理人要求为准）：</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本人身份证件原件及复印件、个人申请书原件、有权相关方出具的关于重大疾病证明、购房证明等产品管理人要求提供的材料。（重大疾病指符合中国保险行业协会和中国医师协会联合发布的最新版《重大疾病保险的疾病定义使用规范》，或罹患其所投保的重大疾病商业保险疾病类型。）（2）如由代理人代为办理，还需提供代理人的身份证件原件及复印件、授权委托书原件。（3）投资者需对提供的信息及材料的真实性和准确性做出承诺。</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4、赎回金额计算方法：</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（1）投资者提前赎回金额，按提前赎回份额和提前赎回确认时的最新单位净值计算赎回总额，扣减提前赎回费用后得到。</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（2）投资者提前赎回本产品的赎回金额计算方法如下：</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赎回金额=赎回总额-赎回费用</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赎回总额=赎回份额×提前赎回确认时的最新单位净值</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lastRenderedPageBreak/>
              <w:t>赎回费用=赎回总额×提前赎回费率</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投资者赎回金额、赎回总额、提前赎回费用按四舍五入原则，保留至小数点后2位。</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5、其他注意事项：</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（1）提前赎回份额需为1000份的整数倍，若投资者申请部分提前赎回，其剩余持有份额应不小于10000份。</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（2）投资者提前赎回本理财产品时，管理人不承诺保证本金，也不承诺任何收益。</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（3）如投资者不符合提前赎回条件，或者未按本理财产品说明书约定提供相应的证明材料和履行相应的赎回程序，管理人有权拒绝投资者的提前赎回申请。</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（4）若累计提前赎回份额超过产品成立日理财产品份额的10%，则触达提前赎回上限，管理人有权拒绝超过10%以上部分的提前赎回申请。</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（5）产品管理人有权调整产品提前赎回相关条款，并至少提前1个工作日发布公告。</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hint="eastAsia"/>
                <w:sz w:val="24"/>
                <w:szCs w:val="24"/>
              </w:rPr>
            </w:pPr>
            <w:r>
              <w:rPr>
                <w:rFonts w:ascii="仿宋_GB2312" w:eastAsia="仿宋_GB2312" w:hint="eastAsia"/>
                <w:sz w:val="24"/>
                <w:szCs w:val="24"/>
              </w:rPr>
              <w:lastRenderedPageBreak/>
              <w:t>提前赎回费</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本产品采取封闭式运作，按照产品特征及说明书约定，存续期内不开放赎回，考虑到鼓励长期投资、适老助老、支持民生等，在收取违约赎回费的条件下，设置提前赎回条款。对投资者因罹患重大疾病等需求提前赎回的金额收取费率为0.15%的提前赎回费，对投资者因购房等需求提前赎回的金额收取费率为0.3%的提前赎回费。提前赎回费在赎回时一次性收取，提前赎回费归入本理财产品资产。</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hint="eastAsia"/>
                <w:sz w:val="24"/>
                <w:szCs w:val="24"/>
              </w:rPr>
            </w:pPr>
            <w:r>
              <w:rPr>
                <w:rFonts w:ascii="仿宋_GB2312" w:eastAsia="仿宋_GB2312" w:hint="eastAsia"/>
                <w:bCs/>
                <w:iCs/>
                <w:sz w:val="24"/>
                <w:szCs w:val="24"/>
              </w:rPr>
              <w:t>产品单位净值及份额计算</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理财产品总净值=理财产品认购总金额+理财产品所获总收益-理财产品总费用（包括但不限于托管费、销售手续费、银行固定管理费、估值服务费等）-理财产品累计分红金额（如有）</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理财产品单位净值=理财产品总净值/理财产品总存续份额，存续期间披露净值四舍五入保留至小数点后四位，到期及提前赎回净值四舍五入保留至小数点后八位</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理财收益=投资者持有理财产品份额×（理财产品当日单位净值-1）+持有期分红收益</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税款</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本产品运作过程中涉及的各纳税主体，其纳税义务按国家税收法律法规执行。国家税收法律、法规要求管理人缴纳或代扣代缴的，由管理人缴纳或代扣代缴。除法律法规特别要求外，投资者应缴纳的税收由投资者负责，产品管理人不承担代扣代缴或纳税的义务。对于理财产品运营过程中发生的应由理财产品承担的增值税应税行为，由管理人申报和缴纳增值税及附加税费，该等税款直接从理财产品账户中扣付缴纳。</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理财产品托管费率（年）</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 xml:space="preserve">按前一日产品资产净值的0.004%/年收取，按日计提，后续如有调整以天津农商银行公告为准。 </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销售手续费率</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暂免销售手续费，后续如有调整以天津农商银行公告为准。</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银行固定管理费率（年）</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 xml:space="preserve">    按前一日产品资产净值的0.1%/年收取，按日计提，后续如有调整以天津农商银行公告为准。</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2"/>
                <w:szCs w:val="24"/>
              </w:rPr>
              <w:t>估值服务费率（年）</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按前一日产品资产净值的0.005%/年收取，按日计提，后续如有调整以天津农商银行公告为准。</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jc w:val="left"/>
              <w:rPr>
                <w:rFonts w:ascii="仿宋_GB2312" w:eastAsia="仿宋_GB2312"/>
                <w:sz w:val="24"/>
                <w:szCs w:val="24"/>
              </w:rPr>
            </w:pPr>
            <w:r>
              <w:rPr>
                <w:rFonts w:ascii="仿宋_GB2312" w:eastAsia="仿宋_GB2312" w:hint="eastAsia"/>
                <w:sz w:val="24"/>
                <w:szCs w:val="24"/>
              </w:rPr>
              <w:lastRenderedPageBreak/>
              <w:t>银行浮动管理费</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 xml:space="preserve">1.理财产品到期日，若投资资产组合收益扣除销售手续费、产品托管费、固定管理费、估值服务费及其他税费后的折合年化收益率低于业绩比较基准上限，天津农商银行不收取浮动投资管理费。 </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2.理财产品到期日，若投资资产组合收益扣除销售手续费、产品托管费、固定管理费、估值服务费后的折合年化收益率高于业绩比较基准上限，则高于业绩比较基准上限部分作为天津农商银行浮动管理费。</w:t>
            </w:r>
          </w:p>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 xml:space="preserve">3、其它税费 </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本理财产品在投资运作过程中可能产生以下税费，包括但不限于：增值税、附加税、所得税，清算费等投资运作时涉及的税费，上述税费（如有）在实际发生时按照实际发生额支付。</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noProof/>
                <w:sz w:val="24"/>
                <w:szCs w:val="24"/>
              </w:rPr>
              <w:drawing>
                <wp:anchor distT="0" distB="0" distL="114300" distR="114300" simplePos="0" relativeHeight="251661312" behindDoc="0" locked="0" layoutInCell="1" allowOverlap="1">
                  <wp:simplePos x="0" y="0"/>
                  <wp:positionH relativeFrom="column">
                    <wp:posOffset>236855</wp:posOffset>
                  </wp:positionH>
                  <wp:positionV relativeFrom="paragraph">
                    <wp:posOffset>219710</wp:posOffset>
                  </wp:positionV>
                  <wp:extent cx="2406650" cy="745490"/>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a:extLst>
                              <a:ext uri="{28A0092B-C50C-407E-A947-70E740481C1C}">
                                <a14:useLocalDpi xmlns:a14="http://schemas.microsoft.com/office/drawing/2010/main" val="0"/>
                              </a:ext>
                            </a:extLst>
                          </a:blip>
                          <a:srcRect l="35088" t="31837" r="43932" b="56590"/>
                          <a:stretch>
                            <a:fillRect/>
                          </a:stretch>
                        </pic:blipFill>
                        <pic:spPr bwMode="auto">
                          <a:xfrm>
                            <a:off x="0" y="0"/>
                            <a:ext cx="2406650" cy="7454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仿宋_GB2312" w:eastAsia="仿宋_GB2312" w:hint="eastAsia"/>
                <w:sz w:val="24"/>
                <w:szCs w:val="24"/>
              </w:rPr>
              <w:t>计提各类费用后的年化收益率R：</w:t>
            </w:r>
          </w:p>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其中，P</w:t>
            </w:r>
            <w:r>
              <w:rPr>
                <w:rFonts w:ascii="仿宋_GB2312" w:eastAsia="仿宋_GB2312" w:hint="eastAsia"/>
                <w:sz w:val="24"/>
                <w:szCs w:val="24"/>
                <w:vertAlign w:val="subscript"/>
              </w:rPr>
              <w:t>期末净值</w:t>
            </w:r>
            <w:r>
              <w:rPr>
                <w:rFonts w:ascii="仿宋_GB2312" w:eastAsia="仿宋_GB2312" w:hint="eastAsia"/>
                <w:sz w:val="24"/>
                <w:szCs w:val="24"/>
              </w:rPr>
              <w:t>表示产品到期日前一工作日的单位累计净值（含分红），P</w:t>
            </w:r>
            <w:r>
              <w:rPr>
                <w:rFonts w:ascii="仿宋_GB2312" w:eastAsia="仿宋_GB2312" w:hint="eastAsia"/>
                <w:sz w:val="24"/>
                <w:szCs w:val="24"/>
                <w:vertAlign w:val="subscript"/>
              </w:rPr>
              <w:t>期初净值</w:t>
            </w:r>
            <w:r>
              <w:rPr>
                <w:rFonts w:ascii="仿宋_GB2312" w:eastAsia="仿宋_GB2312" w:hint="eastAsia"/>
                <w:sz w:val="24"/>
                <w:szCs w:val="24"/>
              </w:rPr>
              <w:t>表示份额起始日的单位净值（本产品为1.00），D表示产品期限，1年按365天计算。</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业绩比较基准</w:t>
            </w:r>
          </w:p>
          <w:p w:rsidR="00CE313F" w:rsidRDefault="00CE313F" w:rsidP="007C2B01">
            <w:pPr>
              <w:tabs>
                <w:tab w:val="left" w:pos="851"/>
              </w:tabs>
              <w:ind w:right="120" w:firstLineChars="100" w:firstLine="240"/>
              <w:jc w:val="center"/>
              <w:rPr>
                <w:rFonts w:ascii="仿宋_GB2312" w:eastAsia="仿宋_GB2312"/>
                <w:sz w:val="24"/>
                <w:szCs w:val="24"/>
              </w:rPr>
            </w:pP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本产品为净值型产品，其业绩表现将随市场波动，具有不确定性。本产品业绩比较基准为2.70%-2.90%（年化，扣除销售手续费、银行固定管理费、估值服务费、托管费等）。</w:t>
            </w:r>
          </w:p>
          <w:p w:rsidR="00CE313F" w:rsidRDefault="00CE313F" w:rsidP="007C2B01">
            <w:pPr>
              <w:tabs>
                <w:tab w:val="left" w:pos="851"/>
              </w:tabs>
              <w:ind w:right="120" w:firstLineChars="200" w:firstLine="482"/>
              <w:rPr>
                <w:rFonts w:ascii="仿宋_GB2312" w:eastAsia="仿宋_GB2312" w:hint="eastAsia"/>
                <w:b/>
                <w:sz w:val="24"/>
                <w:szCs w:val="24"/>
              </w:rPr>
            </w:pPr>
            <w:r>
              <w:rPr>
                <w:rFonts w:ascii="仿宋_GB2312" w:eastAsia="仿宋_GB2312" w:hint="eastAsia"/>
                <w:b/>
                <w:sz w:val="24"/>
                <w:szCs w:val="24"/>
              </w:rPr>
              <w:t>业绩比较基准的测算依据：本理财产品为固定收益类产品，参考代表全市场债券价格的中债财富类指数近一年的平均收益率（年化），结合杠杆资金成本和过往经验，叠加久期、杠杆、信用债择优配置等策略，同时考虑本理财产品的综合费用，测算得出该业绩比较基准。</w:t>
            </w:r>
          </w:p>
          <w:p w:rsidR="00CE313F" w:rsidRDefault="00CE313F" w:rsidP="007C2B01">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特别提示：业绩比较基准是天津农商银行基于产品性质、投资策略、过往经验等因素对产品设定的投资目标，不是预期收益率，不代表产品的未来表现和实际收益，不构成天津农商银行向客户支付理财产品收益的承诺，客户所能获得的最终收益以天津农商银行的实际支付为准。</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产品托管人及主要职责</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中信银行股份有限公司</w:t>
            </w:r>
          </w:p>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主要职责：安全保管理财产品财产，履行账户开立、资金保管、资金清算、会计核算、估值及监督理财产品投资运作等《商业银行理财业务监督管理办法》规定的职责。</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hint="eastAsia"/>
                <w:sz w:val="24"/>
                <w:szCs w:val="24"/>
              </w:rPr>
            </w:pPr>
            <w:r>
              <w:rPr>
                <w:rFonts w:ascii="仿宋_GB2312" w:eastAsia="仿宋_GB2312" w:hint="eastAsia"/>
                <w:sz w:val="24"/>
                <w:szCs w:val="24"/>
              </w:rPr>
              <w:t>投资合作机构</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本理财产品投资合作机构依据监管要求进行名单制管理，所有合作机构均经过天津农商银行相关制度流程选任，符合准入标准和程序。</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本理财产品投资合作机构可能包括但不限于：创金合信基金管</w:t>
            </w:r>
            <w:r>
              <w:rPr>
                <w:rFonts w:ascii="仿宋_GB2312" w:eastAsia="仿宋_GB2312" w:hint="eastAsia"/>
                <w:sz w:val="24"/>
                <w:szCs w:val="24"/>
              </w:rPr>
              <w:lastRenderedPageBreak/>
              <w:t>理有限公司等。</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lastRenderedPageBreak/>
              <w:t>估值管理</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1、估值原则</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（1）适用性。金融资产的公允价值确定方法应与理财产品的类型相匹配。</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（2）稳健性。审慎确认和计量金融资产的公允价值时，不高估公允价值收益，不低估公允价值损失。</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（3）一致性。在同一金融资产的不同估值方法中，所采用的假设和参数应保持一致，以确保估值结果的可比性和可靠性。</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2、估值日</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每个自然日进行估值，本理财产品在存续期内，将披露周五的单位份额净值，并于2个工作日内通过天津农商银行官方网站进行净值披露。</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3、估值对象</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产品持有的所有金融资产及金融负债。</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4、估值目的</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客观、准确反映理财产品的价值。</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5、估值方法</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产品将采用产品管理人和产品托管人共同认可的方法估值，采取必要、适当合理的措施确保产品资产估值的准确性、及时性。</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（1）根据监管规定，可以使用摊余成本法估值的债券类资产使用摊余成本法估值</w:t>
            </w:r>
            <w:r>
              <w:rPr>
                <w:rFonts w:ascii="仿宋_GB2312" w:eastAsia="仿宋_GB2312" w:hint="eastAsia"/>
                <w:b/>
                <w:sz w:val="24"/>
                <w:szCs w:val="24"/>
              </w:rPr>
              <w:t>（以摊余成本法计量的资产，按照会计准则规定采用合理的减值计量模型或第三方减值计量结果进行减值计提。计提减值不等同于金融资产已发生损失，仅为对未来风险的审慎预期）</w:t>
            </w:r>
            <w:r>
              <w:rPr>
                <w:rFonts w:ascii="仿宋_GB2312" w:eastAsia="仿宋_GB2312" w:hint="eastAsia"/>
                <w:sz w:val="24"/>
                <w:szCs w:val="24"/>
              </w:rPr>
              <w:t>；根据监管规定，应使用市值法估值的债券类资产，按照市值法估值；不存在活跃市场的，采用估值技术确定公允价值；</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（2）存放同业、回购、拆借等同业资产按照账面成本加上最近一次付息日至估值日止的应计利息估值；</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（3）银行存款以本金列示，逐日计提利息；</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（4）货币基金以最新基金净值进行估值；</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5）证券公司资产管理计划、基金公司资产管理计划等资产管理产品，按如下方法进行估值：如果该产品按时披露了该产品的单位份额净值，则以最近公布的份额净值估值；如果该产品有预期收益率且不公布单位份额净值，则根据成本和预期收益率对产品进行估值；如果该产品无预期收益率也不公布单位份额净值，则以管理人和托管人协商一致的方法进行估值；</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（6）其他资产的估值方法:在监管许可的范围内，可以使用成本法估值的资产，按取得时的成本用成本法进行估值；根据监管规定，应使用市值法估值的资产，按照市值法估值；</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（7）国家有最新规定的按其规定进行估值。</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6、当理财产品管理人或托管人认为按上述方法对理财产品进行估值不能客观反映其公允价值的，可以在协商一致后变更估值方法，并自协商一致日后执行。</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7、估值错误的处理</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当产品单位净值出现错误时，产品管理人应当立即予以纠正，并</w:t>
            </w:r>
            <w:r>
              <w:rPr>
                <w:rFonts w:ascii="仿宋_GB2312" w:eastAsia="仿宋_GB2312" w:hint="eastAsia"/>
                <w:sz w:val="24"/>
                <w:szCs w:val="24"/>
              </w:rPr>
              <w:lastRenderedPageBreak/>
              <w:t>采取合理的措施防止损失进一步扩大。由于本理财产品估值所用的价格来源中出现错误，或由于其他不可抗力原因，产品管理人虽然已采取必要、适当、合理的措施进行检查，但是未能发现该错误的，由此造成的产品资产估值错误，产品管理人可以免除赔偿责任。但产品管理人应当积极采取必要的措施消除由此造成的影响。</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8、暂停估值</w:t>
            </w:r>
          </w:p>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（1）产品投资所涉及的交易场所遇法定节假日或其他原因暂停营业时；</w:t>
            </w:r>
          </w:p>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（2）当产品资产的估值因不可抗力或其他倾向致使产品管理人、托管人无法准确评估产品资产价值时或中国银保监会认定的其他情形，产品管理人可暂停产品的估值直至另行通知。</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lastRenderedPageBreak/>
              <w:t>提前终止权</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本理财产品成立后，如出现但不限于如下情形，天津农商银行有权（但无义务）提前终止该理财产品，且理财产品本金及收益将以资产组合提前终止时实际出让或处分情况计算：</w:t>
            </w:r>
          </w:p>
          <w:p w:rsidR="00CE313F" w:rsidRDefault="00CE313F" w:rsidP="007C2B01">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1.如遇不可抗力或国家金融政策出现重大调整，经由天津农商银行合理判断，其影响到本理财产品的正常运作；</w:t>
            </w:r>
          </w:p>
          <w:p w:rsidR="00CE313F" w:rsidRDefault="00CE313F" w:rsidP="007C2B01">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2.如遇市场出现巨大不利波动，或企业信用风险恶化，或出现金融资产项下融资人提前还款等情况，经由天津农商银行合理判断，投资收益严重不能满足理财收益。</w:t>
            </w:r>
          </w:p>
          <w:p w:rsidR="00CE313F" w:rsidRDefault="00CE313F" w:rsidP="007C2B01">
            <w:pPr>
              <w:tabs>
                <w:tab w:val="left" w:pos="851"/>
              </w:tabs>
              <w:ind w:right="120" w:firstLineChars="200" w:firstLine="482"/>
              <w:rPr>
                <w:rFonts w:ascii="仿宋_GB2312" w:eastAsia="仿宋_GB2312"/>
                <w:sz w:val="24"/>
                <w:szCs w:val="24"/>
              </w:rPr>
            </w:pPr>
            <w:r>
              <w:rPr>
                <w:rFonts w:ascii="仿宋_GB2312" w:eastAsia="仿宋_GB2312" w:hint="eastAsia"/>
                <w:b/>
                <w:sz w:val="24"/>
                <w:szCs w:val="24"/>
              </w:rPr>
              <w:t>3、投资人无权提前终止理财产品。</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到期兑付净值</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份额到期日的前一个工作日的、扣除相关费用（包括但不限于</w:t>
            </w:r>
            <w:r>
              <w:rPr>
                <w:rFonts w:ascii="仿宋_GB2312" w:eastAsia="仿宋_GB2312" w:hint="eastAsia"/>
                <w:b/>
                <w:sz w:val="24"/>
                <w:szCs w:val="24"/>
              </w:rPr>
              <w:t>托管费、销售手续费、银行固定管理费、估值服务费、银行浮动管理费等</w:t>
            </w:r>
            <w:r>
              <w:rPr>
                <w:rFonts w:ascii="仿宋_GB2312" w:eastAsia="仿宋_GB2312" w:hint="eastAsia"/>
                <w:sz w:val="24"/>
                <w:szCs w:val="24"/>
              </w:rPr>
              <w:t>）后的单位理财产品份额净值，四舍五入保留至小数点后八位。</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到期兑付</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到期兑付金额=到期兑付持有份额×到期兑付单位净值</w:t>
            </w:r>
          </w:p>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本理财产品将于产品到期日（或提前终止日）后3个工作日内，将到期兑付资金一次性划入投资者指定账户。产品到期日（或提前终止日）至投资者资金到账日期间的理财资金不计息。</w:t>
            </w:r>
          </w:p>
        </w:tc>
      </w:tr>
      <w:tr w:rsidR="00CE313F" w:rsidTr="007C2B01">
        <w:trPr>
          <w:trHeight w:val="315"/>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b/>
                <w:sz w:val="24"/>
                <w:szCs w:val="24"/>
              </w:rPr>
            </w:pPr>
            <w:r>
              <w:rPr>
                <w:rFonts w:ascii="仿宋_GB2312" w:eastAsia="仿宋_GB2312" w:hint="eastAsia"/>
                <w:b/>
                <w:sz w:val="28"/>
                <w:szCs w:val="24"/>
              </w:rPr>
              <w:t>申购与赎回</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CE313F" w:rsidRDefault="00CE313F" w:rsidP="007C2B01">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本理财产品在存续期间不开放申购与赎回（满足产品违约提前赎回条件的情形除外）。</w:t>
            </w:r>
          </w:p>
        </w:tc>
      </w:tr>
      <w:tr w:rsidR="00CE313F" w:rsidTr="007C2B01">
        <w:trPr>
          <w:trHeight w:val="581"/>
        </w:trPr>
        <w:tc>
          <w:tcPr>
            <w:tcW w:w="16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313F" w:rsidRDefault="00CE313F" w:rsidP="007C2B01">
            <w:pPr>
              <w:tabs>
                <w:tab w:val="left" w:pos="851"/>
              </w:tabs>
              <w:ind w:right="120"/>
              <w:rPr>
                <w:rFonts w:ascii="仿宋_GB2312" w:eastAsia="仿宋_GB2312"/>
                <w:sz w:val="24"/>
                <w:szCs w:val="24"/>
              </w:rPr>
            </w:pPr>
            <w:r>
              <w:rPr>
                <w:rFonts w:ascii="仿宋_GB2312" w:eastAsia="仿宋_GB2312" w:hint="eastAsia"/>
                <w:sz w:val="24"/>
                <w:szCs w:val="24"/>
              </w:rPr>
              <w:t>其他规定</w:t>
            </w:r>
          </w:p>
        </w:tc>
        <w:tc>
          <w:tcPr>
            <w:tcW w:w="722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CE313F" w:rsidRDefault="00CE313F" w:rsidP="007C2B01">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投资者签署或确认相关协议后，天津农商银行将依据约定划款。划款时不与投资者再次进行确认。</w:t>
            </w:r>
          </w:p>
        </w:tc>
      </w:tr>
    </w:tbl>
    <w:p w:rsidR="00CE313F" w:rsidRDefault="00CE313F" w:rsidP="00CE313F">
      <w:pPr>
        <w:tabs>
          <w:tab w:val="left" w:pos="851"/>
        </w:tabs>
        <w:ind w:right="120" w:firstLineChars="196" w:firstLine="472"/>
        <w:rPr>
          <w:rFonts w:ascii="仿宋_GB2312" w:eastAsia="仿宋_GB2312"/>
          <w:b/>
          <w:bCs/>
          <w:sz w:val="24"/>
          <w:szCs w:val="24"/>
        </w:rPr>
      </w:pPr>
      <w:r>
        <w:rPr>
          <w:rFonts w:ascii="仿宋_GB2312" w:eastAsia="仿宋_GB2312" w:hint="eastAsia"/>
          <w:b/>
          <w:bCs/>
          <w:sz w:val="24"/>
          <w:szCs w:val="24"/>
        </w:rPr>
        <w:t>二、投资对象</w:t>
      </w:r>
    </w:p>
    <w:p w:rsidR="00CE313F" w:rsidRDefault="00CE313F" w:rsidP="00CE313F">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本产品主要投资于以下符合监管要求的各类资产：一是固定收益类资产，包括但不限于各类债券、存款及存款凭证（CD）、货币市场基金、债券基金、质押式及买断式回购等；二是权益类资产，包括但不限于股票型基金等；三是其他资产或资产组合。</w:t>
      </w:r>
    </w:p>
    <w:p w:rsidR="00CE313F" w:rsidRDefault="00CE313F" w:rsidP="00CE313F">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 xml:space="preserve">各投资资产种类占总投资资产的计划投资比例如下： </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6"/>
        <w:gridCol w:w="4499"/>
        <w:gridCol w:w="1984"/>
      </w:tblGrid>
      <w:tr w:rsidR="00CE313F" w:rsidTr="007C2B01">
        <w:tc>
          <w:tcPr>
            <w:tcW w:w="2306"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资产类别</w:t>
            </w:r>
          </w:p>
        </w:tc>
        <w:tc>
          <w:tcPr>
            <w:tcW w:w="4499"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资产种类</w:t>
            </w:r>
          </w:p>
        </w:tc>
        <w:tc>
          <w:tcPr>
            <w:tcW w:w="1984"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投资比例</w:t>
            </w:r>
          </w:p>
        </w:tc>
      </w:tr>
      <w:tr w:rsidR="00CE313F" w:rsidTr="007C2B01">
        <w:tc>
          <w:tcPr>
            <w:tcW w:w="2306" w:type="dxa"/>
            <w:vMerge w:val="restart"/>
            <w:vAlign w:val="center"/>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固定收益类</w:t>
            </w:r>
          </w:p>
        </w:tc>
        <w:tc>
          <w:tcPr>
            <w:tcW w:w="4499"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货币市场工具类</w:t>
            </w:r>
          </w:p>
        </w:tc>
        <w:tc>
          <w:tcPr>
            <w:tcW w:w="1984" w:type="dxa"/>
            <w:vMerge w:val="restart"/>
            <w:vAlign w:val="center"/>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80%-100%</w:t>
            </w:r>
          </w:p>
        </w:tc>
      </w:tr>
      <w:tr w:rsidR="00CE313F" w:rsidTr="007C2B01">
        <w:tc>
          <w:tcPr>
            <w:tcW w:w="2306" w:type="dxa"/>
            <w:vMerge/>
          </w:tcPr>
          <w:p w:rsidR="00CE313F" w:rsidRDefault="00CE313F" w:rsidP="007C2B01">
            <w:pPr>
              <w:tabs>
                <w:tab w:val="left" w:pos="851"/>
              </w:tabs>
              <w:autoSpaceDE w:val="0"/>
              <w:autoSpaceDN w:val="0"/>
              <w:adjustRightInd w:val="0"/>
              <w:jc w:val="left"/>
              <w:rPr>
                <w:rFonts w:ascii="仿宋_GB2312" w:eastAsia="仿宋_GB2312"/>
                <w:bCs/>
                <w:iCs/>
                <w:sz w:val="24"/>
                <w:szCs w:val="24"/>
              </w:rPr>
            </w:pPr>
          </w:p>
        </w:tc>
        <w:tc>
          <w:tcPr>
            <w:tcW w:w="4499"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债券类</w:t>
            </w:r>
          </w:p>
        </w:tc>
        <w:tc>
          <w:tcPr>
            <w:tcW w:w="1984" w:type="dxa"/>
            <w:vMerge/>
          </w:tcPr>
          <w:p w:rsidR="00CE313F" w:rsidRDefault="00CE313F" w:rsidP="007C2B01">
            <w:pPr>
              <w:tabs>
                <w:tab w:val="left" w:pos="851"/>
              </w:tabs>
              <w:autoSpaceDE w:val="0"/>
              <w:autoSpaceDN w:val="0"/>
              <w:adjustRightInd w:val="0"/>
              <w:jc w:val="left"/>
              <w:rPr>
                <w:rFonts w:ascii="仿宋_GB2312" w:eastAsia="仿宋_GB2312"/>
                <w:bCs/>
                <w:iCs/>
                <w:sz w:val="24"/>
                <w:szCs w:val="24"/>
              </w:rPr>
            </w:pPr>
          </w:p>
        </w:tc>
      </w:tr>
      <w:tr w:rsidR="00CE313F" w:rsidTr="007C2B01">
        <w:tc>
          <w:tcPr>
            <w:tcW w:w="2306" w:type="dxa"/>
            <w:vMerge/>
          </w:tcPr>
          <w:p w:rsidR="00CE313F" w:rsidRDefault="00CE313F" w:rsidP="007C2B01">
            <w:pPr>
              <w:tabs>
                <w:tab w:val="left" w:pos="851"/>
              </w:tabs>
              <w:autoSpaceDE w:val="0"/>
              <w:autoSpaceDN w:val="0"/>
              <w:adjustRightInd w:val="0"/>
              <w:jc w:val="left"/>
              <w:rPr>
                <w:rFonts w:ascii="仿宋_GB2312" w:eastAsia="仿宋_GB2312"/>
                <w:bCs/>
                <w:iCs/>
                <w:sz w:val="24"/>
                <w:szCs w:val="24"/>
              </w:rPr>
            </w:pPr>
          </w:p>
        </w:tc>
        <w:tc>
          <w:tcPr>
            <w:tcW w:w="4499"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货币市场基金、债券基金</w:t>
            </w:r>
          </w:p>
        </w:tc>
        <w:tc>
          <w:tcPr>
            <w:tcW w:w="1984" w:type="dxa"/>
            <w:vMerge/>
          </w:tcPr>
          <w:p w:rsidR="00CE313F" w:rsidRDefault="00CE313F" w:rsidP="007C2B01">
            <w:pPr>
              <w:tabs>
                <w:tab w:val="left" w:pos="851"/>
              </w:tabs>
              <w:autoSpaceDE w:val="0"/>
              <w:autoSpaceDN w:val="0"/>
              <w:adjustRightInd w:val="0"/>
              <w:jc w:val="left"/>
              <w:rPr>
                <w:rFonts w:ascii="仿宋_GB2312" w:eastAsia="仿宋_GB2312"/>
                <w:bCs/>
                <w:iCs/>
                <w:sz w:val="24"/>
                <w:szCs w:val="24"/>
              </w:rPr>
            </w:pPr>
          </w:p>
        </w:tc>
      </w:tr>
      <w:tr w:rsidR="00CE313F" w:rsidTr="007C2B01">
        <w:tc>
          <w:tcPr>
            <w:tcW w:w="2306" w:type="dxa"/>
            <w:vMerge/>
          </w:tcPr>
          <w:p w:rsidR="00CE313F" w:rsidRDefault="00CE313F" w:rsidP="007C2B01">
            <w:pPr>
              <w:tabs>
                <w:tab w:val="left" w:pos="851"/>
              </w:tabs>
              <w:autoSpaceDE w:val="0"/>
              <w:autoSpaceDN w:val="0"/>
              <w:adjustRightInd w:val="0"/>
              <w:jc w:val="left"/>
              <w:rPr>
                <w:rFonts w:ascii="仿宋_GB2312" w:eastAsia="仿宋_GB2312"/>
                <w:bCs/>
                <w:iCs/>
                <w:sz w:val="24"/>
                <w:szCs w:val="24"/>
              </w:rPr>
            </w:pPr>
          </w:p>
        </w:tc>
        <w:tc>
          <w:tcPr>
            <w:tcW w:w="4499"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其他符合监管要求的债权类资产</w:t>
            </w:r>
          </w:p>
        </w:tc>
        <w:tc>
          <w:tcPr>
            <w:tcW w:w="1984" w:type="dxa"/>
            <w:vMerge/>
          </w:tcPr>
          <w:p w:rsidR="00CE313F" w:rsidRDefault="00CE313F" w:rsidP="007C2B01">
            <w:pPr>
              <w:tabs>
                <w:tab w:val="left" w:pos="851"/>
              </w:tabs>
              <w:autoSpaceDE w:val="0"/>
              <w:autoSpaceDN w:val="0"/>
              <w:adjustRightInd w:val="0"/>
              <w:jc w:val="left"/>
              <w:rPr>
                <w:rFonts w:ascii="仿宋_GB2312" w:eastAsia="仿宋_GB2312"/>
                <w:bCs/>
                <w:iCs/>
                <w:sz w:val="24"/>
                <w:szCs w:val="24"/>
              </w:rPr>
            </w:pPr>
          </w:p>
        </w:tc>
      </w:tr>
      <w:tr w:rsidR="00CE313F" w:rsidTr="007C2B01">
        <w:tc>
          <w:tcPr>
            <w:tcW w:w="2306" w:type="dxa"/>
            <w:vMerge w:val="restart"/>
            <w:vAlign w:val="center"/>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权益类</w:t>
            </w:r>
          </w:p>
        </w:tc>
        <w:tc>
          <w:tcPr>
            <w:tcW w:w="4499"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股票型基金</w:t>
            </w:r>
          </w:p>
        </w:tc>
        <w:tc>
          <w:tcPr>
            <w:tcW w:w="1984" w:type="dxa"/>
            <w:vMerge w:val="restart"/>
            <w:vAlign w:val="center"/>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0-20%</w:t>
            </w:r>
          </w:p>
        </w:tc>
      </w:tr>
      <w:tr w:rsidR="00CE313F" w:rsidTr="007C2B01">
        <w:tc>
          <w:tcPr>
            <w:tcW w:w="2306" w:type="dxa"/>
            <w:vMerge/>
          </w:tcPr>
          <w:p w:rsidR="00CE313F" w:rsidRDefault="00CE313F" w:rsidP="007C2B01">
            <w:pPr>
              <w:tabs>
                <w:tab w:val="left" w:pos="851"/>
              </w:tabs>
              <w:autoSpaceDE w:val="0"/>
              <w:autoSpaceDN w:val="0"/>
              <w:adjustRightInd w:val="0"/>
              <w:jc w:val="left"/>
              <w:rPr>
                <w:rFonts w:ascii="仿宋_GB2312" w:eastAsia="仿宋_GB2312"/>
                <w:bCs/>
                <w:iCs/>
                <w:sz w:val="24"/>
                <w:szCs w:val="24"/>
              </w:rPr>
            </w:pPr>
          </w:p>
        </w:tc>
        <w:tc>
          <w:tcPr>
            <w:tcW w:w="4499"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其他符合监管要求的权益类资产</w:t>
            </w:r>
          </w:p>
        </w:tc>
        <w:tc>
          <w:tcPr>
            <w:tcW w:w="1984" w:type="dxa"/>
            <w:vMerge/>
          </w:tcPr>
          <w:p w:rsidR="00CE313F" w:rsidRDefault="00CE313F" w:rsidP="007C2B01">
            <w:pPr>
              <w:tabs>
                <w:tab w:val="left" w:pos="851"/>
              </w:tabs>
              <w:autoSpaceDE w:val="0"/>
              <w:autoSpaceDN w:val="0"/>
              <w:adjustRightInd w:val="0"/>
              <w:jc w:val="left"/>
              <w:rPr>
                <w:rFonts w:ascii="仿宋_GB2312" w:eastAsia="仿宋_GB2312"/>
                <w:bCs/>
                <w:iCs/>
                <w:sz w:val="24"/>
                <w:szCs w:val="24"/>
              </w:rPr>
            </w:pPr>
          </w:p>
        </w:tc>
      </w:tr>
      <w:tr w:rsidR="00CE313F" w:rsidTr="007C2B01">
        <w:tc>
          <w:tcPr>
            <w:tcW w:w="2306"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lastRenderedPageBreak/>
              <w:t>其他</w:t>
            </w:r>
          </w:p>
        </w:tc>
        <w:tc>
          <w:tcPr>
            <w:tcW w:w="4499"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其他符合监管要求的资产或资产组合</w:t>
            </w:r>
          </w:p>
        </w:tc>
        <w:tc>
          <w:tcPr>
            <w:tcW w:w="1984" w:type="dxa"/>
          </w:tcPr>
          <w:p w:rsidR="00CE313F" w:rsidRDefault="00CE313F" w:rsidP="007C2B01">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0-20%</w:t>
            </w:r>
          </w:p>
        </w:tc>
      </w:tr>
    </w:tbl>
    <w:p w:rsidR="00CE313F" w:rsidRDefault="00CE313F" w:rsidP="00CE313F">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如遇市场变化或非管理人主观因素导致各类投资品投资比例暂时超出以上范围，为保护投资者利益，管理人将在流动性受限资产可出售、可转让或者恢复交易的15个交易日内调整至上述比例范围。</w:t>
      </w:r>
    </w:p>
    <w:p w:rsidR="00CE313F" w:rsidRDefault="00CE313F" w:rsidP="00CE313F">
      <w:pPr>
        <w:tabs>
          <w:tab w:val="left" w:pos="851"/>
        </w:tabs>
        <w:ind w:right="120" w:firstLineChars="196" w:firstLine="472"/>
        <w:rPr>
          <w:rFonts w:ascii="仿宋_GB2312" w:eastAsia="仿宋_GB2312"/>
          <w:b/>
          <w:bCs/>
          <w:sz w:val="24"/>
          <w:szCs w:val="24"/>
        </w:rPr>
      </w:pPr>
      <w:r>
        <w:rPr>
          <w:rFonts w:ascii="仿宋_GB2312" w:eastAsia="仿宋_GB2312" w:hint="eastAsia"/>
          <w:b/>
          <w:bCs/>
          <w:sz w:val="24"/>
          <w:szCs w:val="24"/>
        </w:rPr>
        <w:t>三、投资团队</w:t>
      </w:r>
    </w:p>
    <w:p w:rsidR="00CE313F" w:rsidRDefault="00CE313F" w:rsidP="00CE313F">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天津农商银行拥有专业化的银行理财产品投资管理团队和丰富的金融市场投资经验，拥有银行间市场的交易资格，为客户甄选优质资产。</w:t>
      </w:r>
    </w:p>
    <w:p w:rsidR="00CE313F" w:rsidRDefault="00CE313F" w:rsidP="00CE313F">
      <w:pPr>
        <w:tabs>
          <w:tab w:val="left" w:pos="851"/>
        </w:tabs>
        <w:ind w:right="120" w:firstLineChars="196" w:firstLine="472"/>
        <w:rPr>
          <w:rFonts w:ascii="仿宋_GB2312" w:eastAsia="仿宋_GB2312"/>
          <w:b/>
          <w:bCs/>
          <w:sz w:val="24"/>
          <w:szCs w:val="24"/>
        </w:rPr>
      </w:pPr>
      <w:r>
        <w:rPr>
          <w:rFonts w:ascii="仿宋_GB2312" w:eastAsia="仿宋_GB2312" w:hint="eastAsia"/>
          <w:b/>
          <w:bCs/>
          <w:sz w:val="24"/>
          <w:szCs w:val="24"/>
        </w:rPr>
        <w:t xml:space="preserve">四、收益测算 </w:t>
      </w:r>
    </w:p>
    <w:p w:rsidR="00CE313F" w:rsidRDefault="00CE313F" w:rsidP="00CE313F">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情景一：扣除各项税费后，收益率超过业绩基准。</w:t>
      </w:r>
    </w:p>
    <w:p w:rsidR="00CE313F" w:rsidRDefault="00CE313F" w:rsidP="00CE313F">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以某客户投资5万元为例，期初净值为1.00元，折算份额为50,000.00份，产品期限3</w:t>
      </w:r>
      <w:r>
        <w:rPr>
          <w:rFonts w:ascii="仿宋_GB2312" w:eastAsia="仿宋_GB2312"/>
          <w:bCs/>
          <w:iCs/>
          <w:sz w:val="24"/>
          <w:szCs w:val="24"/>
        </w:rPr>
        <w:t>65</w:t>
      </w:r>
      <w:r>
        <w:rPr>
          <w:rFonts w:ascii="仿宋_GB2312" w:eastAsia="仿宋_GB2312" w:hint="eastAsia"/>
          <w:bCs/>
          <w:iCs/>
          <w:sz w:val="24"/>
          <w:szCs w:val="24"/>
        </w:rPr>
        <w:t>天，业绩比较基准为4.</w:t>
      </w:r>
      <w:r>
        <w:rPr>
          <w:rFonts w:ascii="仿宋_GB2312" w:eastAsia="仿宋_GB2312"/>
          <w:bCs/>
          <w:iCs/>
          <w:sz w:val="24"/>
          <w:szCs w:val="24"/>
        </w:rPr>
        <w:t>0</w:t>
      </w:r>
      <w:r>
        <w:rPr>
          <w:rFonts w:ascii="仿宋_GB2312" w:eastAsia="仿宋_GB2312" w:hint="eastAsia"/>
          <w:bCs/>
          <w:iCs/>
          <w:sz w:val="24"/>
          <w:szCs w:val="24"/>
        </w:rPr>
        <w:t>0%（年化）。产品到期时，客户持有的份额依然为50,000.00份（即存续期中未发生提前终止或提前赎回），如扣除托管费、销售手续费、银行固定管理费、估值服务费后，理财产品累计单位净值</w:t>
      </w:r>
      <w:r>
        <w:rPr>
          <w:rFonts w:ascii="仿宋_GB2312" w:eastAsia="仿宋_GB2312" w:hint="eastAsia"/>
          <w:sz w:val="24"/>
          <w:szCs w:val="24"/>
        </w:rPr>
        <w:t>（含分红）</w:t>
      </w:r>
      <w:r>
        <w:rPr>
          <w:rFonts w:ascii="仿宋_GB2312" w:eastAsia="仿宋_GB2312" w:hint="eastAsia"/>
          <w:bCs/>
          <w:iCs/>
          <w:sz w:val="24"/>
          <w:szCs w:val="24"/>
        </w:rPr>
        <w:t>为1.0</w:t>
      </w:r>
      <w:r>
        <w:rPr>
          <w:rFonts w:ascii="仿宋_GB2312" w:eastAsia="仿宋_GB2312"/>
          <w:bCs/>
          <w:iCs/>
          <w:sz w:val="24"/>
          <w:szCs w:val="24"/>
        </w:rPr>
        <w:t>412</w:t>
      </w:r>
      <w:r>
        <w:rPr>
          <w:rFonts w:ascii="仿宋_GB2312" w:eastAsia="仿宋_GB2312" w:hint="eastAsia"/>
          <w:bCs/>
          <w:iCs/>
          <w:sz w:val="24"/>
          <w:szCs w:val="24"/>
        </w:rPr>
        <w:t>，则该产品从产品起息日起折合的投资年化收益率为(1.0</w:t>
      </w:r>
      <w:r>
        <w:rPr>
          <w:rFonts w:ascii="仿宋_GB2312" w:eastAsia="仿宋_GB2312"/>
          <w:bCs/>
          <w:iCs/>
          <w:sz w:val="24"/>
          <w:szCs w:val="24"/>
        </w:rPr>
        <w:t>412</w:t>
      </w:r>
      <w:r>
        <w:rPr>
          <w:rFonts w:ascii="仿宋_GB2312" w:eastAsia="仿宋_GB2312" w:hint="eastAsia"/>
          <w:bCs/>
          <w:iCs/>
          <w:sz w:val="24"/>
          <w:szCs w:val="24"/>
        </w:rPr>
        <w:t>-1.00)/1.00×365/36</w:t>
      </w:r>
      <w:r>
        <w:rPr>
          <w:rFonts w:ascii="仿宋_GB2312" w:eastAsia="仿宋_GB2312"/>
          <w:bCs/>
          <w:iCs/>
          <w:sz w:val="24"/>
          <w:szCs w:val="24"/>
        </w:rPr>
        <w:t>5</w:t>
      </w:r>
      <w:r>
        <w:rPr>
          <w:rFonts w:ascii="仿宋_GB2312" w:eastAsia="仿宋_GB2312" w:hint="eastAsia"/>
          <w:bCs/>
          <w:iCs/>
          <w:sz w:val="24"/>
          <w:szCs w:val="24"/>
        </w:rPr>
        <w:t>=4.</w:t>
      </w:r>
      <w:r>
        <w:rPr>
          <w:rFonts w:ascii="仿宋_GB2312" w:eastAsia="仿宋_GB2312"/>
          <w:bCs/>
          <w:iCs/>
          <w:sz w:val="24"/>
          <w:szCs w:val="24"/>
        </w:rPr>
        <w:t>1</w:t>
      </w:r>
      <w:r>
        <w:rPr>
          <w:rFonts w:ascii="仿宋_GB2312" w:eastAsia="仿宋_GB2312" w:hint="eastAsia"/>
          <w:bCs/>
          <w:iCs/>
          <w:sz w:val="24"/>
          <w:szCs w:val="24"/>
        </w:rPr>
        <w:t>2%，投资收益超越业绩比较基准，则天津农商银行对超过业绩比较基准部分收益收取浮动管理费，浮动管理费为：</w:t>
      </w:r>
    </w:p>
    <w:p w:rsidR="00CE313F" w:rsidRDefault="00CE313F" w:rsidP="00CE313F">
      <w:pPr>
        <w:tabs>
          <w:tab w:val="left" w:pos="851"/>
        </w:tabs>
        <w:ind w:right="120"/>
        <w:rPr>
          <w:rFonts w:ascii="仿宋_GB2312" w:eastAsia="仿宋_GB2312"/>
          <w:sz w:val="24"/>
          <w:szCs w:val="24"/>
        </w:rPr>
      </w:pPr>
      <w:r>
        <w:rPr>
          <w:rFonts w:ascii="仿宋_GB2312" w:eastAsia="仿宋_GB2312" w:hint="eastAsia"/>
          <w:sz w:val="24"/>
          <w:szCs w:val="24"/>
        </w:rPr>
        <w:t>50,000.00×（4.</w:t>
      </w:r>
      <w:r>
        <w:rPr>
          <w:rFonts w:ascii="仿宋_GB2312" w:eastAsia="仿宋_GB2312"/>
          <w:sz w:val="24"/>
          <w:szCs w:val="24"/>
        </w:rPr>
        <w:t>1</w:t>
      </w:r>
      <w:r>
        <w:rPr>
          <w:rFonts w:ascii="仿宋_GB2312" w:eastAsia="仿宋_GB2312" w:hint="eastAsia"/>
          <w:sz w:val="24"/>
          <w:szCs w:val="24"/>
        </w:rPr>
        <w:t>2%-4.</w:t>
      </w:r>
      <w:r>
        <w:rPr>
          <w:rFonts w:ascii="仿宋_GB2312" w:eastAsia="仿宋_GB2312"/>
          <w:sz w:val="24"/>
          <w:szCs w:val="24"/>
        </w:rPr>
        <w:t>0</w:t>
      </w:r>
      <w:r>
        <w:rPr>
          <w:rFonts w:ascii="仿宋_GB2312" w:eastAsia="仿宋_GB2312" w:hint="eastAsia"/>
          <w:sz w:val="24"/>
          <w:szCs w:val="24"/>
        </w:rPr>
        <w:t>0%）*36</w:t>
      </w:r>
      <w:r>
        <w:rPr>
          <w:rFonts w:ascii="仿宋_GB2312" w:eastAsia="仿宋_GB2312"/>
          <w:sz w:val="24"/>
          <w:szCs w:val="24"/>
        </w:rPr>
        <w:t>5</w:t>
      </w:r>
      <w:r>
        <w:rPr>
          <w:rFonts w:ascii="仿宋_GB2312" w:eastAsia="仿宋_GB2312" w:hint="eastAsia"/>
          <w:sz w:val="24"/>
          <w:szCs w:val="24"/>
        </w:rPr>
        <w:t>/365=60（元）</w:t>
      </w:r>
    </w:p>
    <w:p w:rsidR="00CE313F" w:rsidRDefault="00CE313F" w:rsidP="00CE313F">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扣除浮动管理费后，客户最终收益（含分红）为：</w:t>
      </w:r>
    </w:p>
    <w:p w:rsidR="00CE313F" w:rsidRDefault="00CE313F" w:rsidP="00CE313F">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50,000.00×（1.0</w:t>
      </w:r>
      <w:r>
        <w:rPr>
          <w:rFonts w:ascii="仿宋_GB2312" w:eastAsia="仿宋_GB2312"/>
          <w:sz w:val="24"/>
          <w:szCs w:val="24"/>
        </w:rPr>
        <w:t>412</w:t>
      </w:r>
      <w:r>
        <w:rPr>
          <w:rFonts w:ascii="仿宋_GB2312" w:eastAsia="仿宋_GB2312" w:hint="eastAsia"/>
          <w:sz w:val="24"/>
          <w:szCs w:val="24"/>
        </w:rPr>
        <w:t>-1.00）-60=</w:t>
      </w:r>
      <w:r>
        <w:rPr>
          <w:rFonts w:ascii="仿宋_GB2312" w:eastAsia="仿宋_GB2312"/>
          <w:sz w:val="24"/>
          <w:szCs w:val="24"/>
        </w:rPr>
        <w:t>20</w:t>
      </w:r>
      <w:r>
        <w:rPr>
          <w:rFonts w:ascii="仿宋_GB2312" w:eastAsia="仿宋_GB2312" w:hint="eastAsia"/>
          <w:sz w:val="24"/>
          <w:szCs w:val="24"/>
        </w:rPr>
        <w:t>00（元），</w:t>
      </w:r>
    </w:p>
    <w:p w:rsidR="00CE313F" w:rsidRDefault="00CE313F" w:rsidP="00CE313F">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客户获得的实际收益（含分红）相当于达到年化收益率水平为：</w:t>
      </w:r>
    </w:p>
    <w:p w:rsidR="00CE313F" w:rsidRDefault="00CE313F" w:rsidP="00CE313F">
      <w:pPr>
        <w:tabs>
          <w:tab w:val="left" w:pos="851"/>
        </w:tabs>
        <w:ind w:right="120" w:firstLineChars="200" w:firstLine="480"/>
        <w:rPr>
          <w:rFonts w:ascii="仿宋_GB2312" w:eastAsia="仿宋_GB2312"/>
          <w:sz w:val="24"/>
          <w:szCs w:val="24"/>
        </w:rPr>
      </w:pPr>
      <w:r>
        <w:rPr>
          <w:rFonts w:ascii="仿宋_GB2312" w:eastAsia="仿宋_GB2312"/>
          <w:sz w:val="24"/>
          <w:szCs w:val="24"/>
        </w:rPr>
        <w:t>20</w:t>
      </w:r>
      <w:r>
        <w:rPr>
          <w:rFonts w:ascii="仿宋_GB2312" w:eastAsia="仿宋_GB2312" w:hint="eastAsia"/>
          <w:sz w:val="24"/>
          <w:szCs w:val="24"/>
        </w:rPr>
        <w:t>00/50,000.00×365/36</w:t>
      </w:r>
      <w:r>
        <w:rPr>
          <w:rFonts w:ascii="仿宋_GB2312" w:eastAsia="仿宋_GB2312"/>
          <w:sz w:val="24"/>
          <w:szCs w:val="24"/>
        </w:rPr>
        <w:t>5</w:t>
      </w:r>
      <w:r>
        <w:rPr>
          <w:rFonts w:ascii="仿宋_GB2312" w:eastAsia="仿宋_GB2312" w:hint="eastAsia"/>
          <w:sz w:val="24"/>
          <w:szCs w:val="24"/>
        </w:rPr>
        <w:t>=4.</w:t>
      </w:r>
      <w:r>
        <w:rPr>
          <w:rFonts w:ascii="仿宋_GB2312" w:eastAsia="仿宋_GB2312"/>
          <w:sz w:val="24"/>
          <w:szCs w:val="24"/>
        </w:rPr>
        <w:t>0</w:t>
      </w:r>
      <w:r>
        <w:rPr>
          <w:rFonts w:ascii="仿宋_GB2312" w:eastAsia="仿宋_GB2312" w:hint="eastAsia"/>
          <w:sz w:val="24"/>
          <w:szCs w:val="24"/>
        </w:rPr>
        <w:t>0%。</w:t>
      </w:r>
    </w:p>
    <w:p w:rsidR="00CE313F" w:rsidRDefault="00CE313F" w:rsidP="00CE313F">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情景二：扣除各项税费后，投资收益未达到业绩比较基准。</w:t>
      </w:r>
    </w:p>
    <w:p w:rsidR="00CE313F" w:rsidRDefault="00CE313F" w:rsidP="00CE313F">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以某客户投资5万元为例，期初净值为1.00元，折算份额为50,000.00份，产品期限36</w:t>
      </w:r>
      <w:r>
        <w:rPr>
          <w:rFonts w:ascii="仿宋_GB2312" w:eastAsia="仿宋_GB2312"/>
          <w:sz w:val="24"/>
          <w:szCs w:val="24"/>
        </w:rPr>
        <w:t>5</w:t>
      </w:r>
      <w:r>
        <w:rPr>
          <w:rFonts w:ascii="仿宋_GB2312" w:eastAsia="仿宋_GB2312" w:hint="eastAsia"/>
          <w:sz w:val="24"/>
          <w:szCs w:val="24"/>
        </w:rPr>
        <w:t>天，业绩比较基准为4.</w:t>
      </w:r>
      <w:r>
        <w:rPr>
          <w:rFonts w:ascii="仿宋_GB2312" w:eastAsia="仿宋_GB2312"/>
          <w:sz w:val="24"/>
          <w:szCs w:val="24"/>
        </w:rPr>
        <w:t>0</w:t>
      </w:r>
      <w:r>
        <w:rPr>
          <w:rFonts w:ascii="仿宋_GB2312" w:eastAsia="仿宋_GB2312" w:hint="eastAsia"/>
          <w:sz w:val="24"/>
          <w:szCs w:val="24"/>
        </w:rPr>
        <w:t>0%（年化）。产品到期时，客户持有的份额依然为50,000.00份（即存续期中未发生提前终止或提前赎回），如</w:t>
      </w:r>
      <w:r>
        <w:rPr>
          <w:rFonts w:ascii="仿宋_GB2312" w:eastAsia="仿宋_GB2312" w:hint="eastAsia"/>
          <w:bCs/>
          <w:iCs/>
          <w:sz w:val="24"/>
          <w:szCs w:val="24"/>
        </w:rPr>
        <w:t>扣除托管费、销售手续费、银行固定管理费、估值服务费</w:t>
      </w:r>
      <w:r>
        <w:rPr>
          <w:rFonts w:ascii="仿宋_GB2312" w:eastAsia="仿宋_GB2312" w:hint="eastAsia"/>
          <w:sz w:val="24"/>
          <w:szCs w:val="24"/>
        </w:rPr>
        <w:t>后，</w:t>
      </w:r>
      <w:r>
        <w:rPr>
          <w:rFonts w:ascii="仿宋_GB2312" w:eastAsia="仿宋_GB2312" w:hint="eastAsia"/>
          <w:bCs/>
          <w:iCs/>
          <w:sz w:val="24"/>
          <w:szCs w:val="24"/>
        </w:rPr>
        <w:t>理财产品累计单位净值</w:t>
      </w:r>
      <w:r>
        <w:rPr>
          <w:rFonts w:ascii="仿宋_GB2312" w:eastAsia="仿宋_GB2312" w:hint="eastAsia"/>
          <w:sz w:val="24"/>
          <w:szCs w:val="24"/>
        </w:rPr>
        <w:t>（含分红）为1.0</w:t>
      </w:r>
      <w:r>
        <w:rPr>
          <w:rFonts w:ascii="仿宋_GB2312" w:eastAsia="仿宋_GB2312"/>
          <w:sz w:val="24"/>
          <w:szCs w:val="24"/>
        </w:rPr>
        <w:t>398</w:t>
      </w:r>
      <w:r>
        <w:rPr>
          <w:rFonts w:ascii="仿宋_GB2312" w:eastAsia="仿宋_GB2312" w:hint="eastAsia"/>
          <w:sz w:val="24"/>
          <w:szCs w:val="24"/>
        </w:rPr>
        <w:t>，此时，(1.0</w:t>
      </w:r>
      <w:r>
        <w:rPr>
          <w:rFonts w:ascii="仿宋_GB2312" w:eastAsia="仿宋_GB2312"/>
          <w:sz w:val="24"/>
          <w:szCs w:val="24"/>
        </w:rPr>
        <w:t>398</w:t>
      </w:r>
      <w:r>
        <w:rPr>
          <w:rFonts w:ascii="仿宋_GB2312" w:eastAsia="仿宋_GB2312" w:hint="eastAsia"/>
          <w:sz w:val="24"/>
          <w:szCs w:val="24"/>
        </w:rPr>
        <w:t>-1.00)/1.00×365/36</w:t>
      </w:r>
      <w:r>
        <w:rPr>
          <w:rFonts w:ascii="仿宋_GB2312" w:eastAsia="仿宋_GB2312"/>
          <w:sz w:val="24"/>
          <w:szCs w:val="24"/>
        </w:rPr>
        <w:t>5</w:t>
      </w:r>
      <w:r>
        <w:rPr>
          <w:rFonts w:ascii="仿宋_GB2312" w:eastAsia="仿宋_GB2312" w:hint="eastAsia"/>
          <w:sz w:val="24"/>
          <w:szCs w:val="24"/>
        </w:rPr>
        <w:t>=</w:t>
      </w:r>
      <w:r>
        <w:rPr>
          <w:rFonts w:ascii="仿宋_GB2312" w:eastAsia="仿宋_GB2312"/>
          <w:sz w:val="24"/>
          <w:szCs w:val="24"/>
        </w:rPr>
        <w:t>3.98</w:t>
      </w:r>
      <w:r>
        <w:rPr>
          <w:rFonts w:ascii="仿宋_GB2312" w:eastAsia="仿宋_GB2312" w:hint="eastAsia"/>
          <w:sz w:val="24"/>
          <w:szCs w:val="24"/>
        </w:rPr>
        <w:t>%，即投资收益未达到业绩比较基准，则投资管理人不收取浮动管理费，客户最终收益（含分红）为：</w:t>
      </w:r>
    </w:p>
    <w:p w:rsidR="00CE313F" w:rsidRDefault="00CE313F" w:rsidP="00CE313F">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50,000.00×(1.</w:t>
      </w:r>
      <w:r>
        <w:rPr>
          <w:rFonts w:ascii="仿宋_GB2312" w:eastAsia="仿宋_GB2312"/>
          <w:sz w:val="24"/>
          <w:szCs w:val="24"/>
        </w:rPr>
        <w:t>0398</w:t>
      </w:r>
      <w:r>
        <w:rPr>
          <w:rFonts w:ascii="仿宋_GB2312" w:eastAsia="仿宋_GB2312" w:hint="eastAsia"/>
          <w:sz w:val="24"/>
          <w:szCs w:val="24"/>
        </w:rPr>
        <w:t>-1.00）=</w:t>
      </w:r>
      <w:r>
        <w:rPr>
          <w:rFonts w:ascii="仿宋_GB2312" w:eastAsia="仿宋_GB2312"/>
          <w:sz w:val="24"/>
          <w:szCs w:val="24"/>
        </w:rPr>
        <w:t>1990</w:t>
      </w:r>
      <w:r>
        <w:rPr>
          <w:rFonts w:ascii="仿宋_GB2312" w:eastAsia="仿宋_GB2312" w:hint="eastAsia"/>
          <w:sz w:val="24"/>
          <w:szCs w:val="24"/>
        </w:rPr>
        <w:t>.00（元）</w:t>
      </w:r>
    </w:p>
    <w:p w:rsidR="00CE313F" w:rsidRDefault="00CE313F" w:rsidP="00CE313F">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客户获得的实际收益（含分红）相当于达到年化收益率水平为：</w:t>
      </w:r>
    </w:p>
    <w:p w:rsidR="00CE313F" w:rsidRDefault="00CE313F" w:rsidP="00CE313F">
      <w:pPr>
        <w:tabs>
          <w:tab w:val="left" w:pos="851"/>
        </w:tabs>
        <w:ind w:right="120" w:firstLineChars="200" w:firstLine="480"/>
        <w:rPr>
          <w:rFonts w:ascii="仿宋_GB2312" w:eastAsia="仿宋_GB2312"/>
          <w:sz w:val="24"/>
          <w:szCs w:val="24"/>
        </w:rPr>
      </w:pPr>
      <w:r>
        <w:rPr>
          <w:rFonts w:ascii="仿宋_GB2312" w:eastAsia="仿宋_GB2312"/>
          <w:sz w:val="24"/>
          <w:szCs w:val="24"/>
        </w:rPr>
        <w:t>1</w:t>
      </w:r>
      <w:r>
        <w:rPr>
          <w:rFonts w:ascii="仿宋_GB2312" w:eastAsia="仿宋_GB2312" w:hint="eastAsia"/>
          <w:sz w:val="24"/>
          <w:szCs w:val="24"/>
        </w:rPr>
        <w:t>,</w:t>
      </w:r>
      <w:r>
        <w:rPr>
          <w:rFonts w:ascii="仿宋_GB2312" w:eastAsia="仿宋_GB2312"/>
          <w:sz w:val="24"/>
          <w:szCs w:val="24"/>
        </w:rPr>
        <w:t>990</w:t>
      </w:r>
      <w:r>
        <w:rPr>
          <w:rFonts w:ascii="仿宋_GB2312" w:eastAsia="仿宋_GB2312" w:hint="eastAsia"/>
          <w:sz w:val="24"/>
          <w:szCs w:val="24"/>
        </w:rPr>
        <w:t>.00/50,000.00×365/36</w:t>
      </w:r>
      <w:r>
        <w:rPr>
          <w:rFonts w:ascii="仿宋_GB2312" w:eastAsia="仿宋_GB2312"/>
          <w:sz w:val="24"/>
          <w:szCs w:val="24"/>
        </w:rPr>
        <w:t>5</w:t>
      </w:r>
      <w:r>
        <w:rPr>
          <w:rFonts w:ascii="仿宋_GB2312" w:eastAsia="仿宋_GB2312" w:hint="eastAsia"/>
          <w:sz w:val="24"/>
          <w:szCs w:val="24"/>
        </w:rPr>
        <w:t>=</w:t>
      </w:r>
      <w:r>
        <w:rPr>
          <w:rFonts w:ascii="仿宋_GB2312" w:eastAsia="仿宋_GB2312"/>
          <w:sz w:val="24"/>
          <w:szCs w:val="24"/>
        </w:rPr>
        <w:t>3.98</w:t>
      </w:r>
      <w:r>
        <w:rPr>
          <w:rFonts w:ascii="仿宋_GB2312" w:eastAsia="仿宋_GB2312" w:hint="eastAsia"/>
          <w:sz w:val="24"/>
          <w:szCs w:val="24"/>
        </w:rPr>
        <w:t>%</w:t>
      </w:r>
    </w:p>
    <w:p w:rsidR="00CE313F" w:rsidRDefault="00CE313F" w:rsidP="00CE313F">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情景三：最不利情况，扣除各项税费后，投资发生亏损。</w:t>
      </w:r>
    </w:p>
    <w:p w:rsidR="00CE313F" w:rsidRDefault="00CE313F" w:rsidP="00CE313F">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以某客户投资5万元为例，期初净值为1.00元，折算份额为50,000.00份，产品期限36</w:t>
      </w:r>
      <w:r>
        <w:rPr>
          <w:rFonts w:ascii="仿宋_GB2312" w:eastAsia="仿宋_GB2312"/>
          <w:bCs/>
          <w:iCs/>
          <w:sz w:val="24"/>
          <w:szCs w:val="24"/>
        </w:rPr>
        <w:t>5</w:t>
      </w:r>
      <w:r>
        <w:rPr>
          <w:rFonts w:ascii="仿宋_GB2312" w:eastAsia="仿宋_GB2312" w:hint="eastAsia"/>
          <w:bCs/>
          <w:iCs/>
          <w:sz w:val="24"/>
          <w:szCs w:val="24"/>
        </w:rPr>
        <w:t>天，业绩比较基准为4.</w:t>
      </w:r>
      <w:r>
        <w:rPr>
          <w:rFonts w:ascii="仿宋_GB2312" w:eastAsia="仿宋_GB2312"/>
          <w:bCs/>
          <w:iCs/>
          <w:sz w:val="24"/>
          <w:szCs w:val="24"/>
        </w:rPr>
        <w:t>0</w:t>
      </w:r>
      <w:r>
        <w:rPr>
          <w:rFonts w:ascii="仿宋_GB2312" w:eastAsia="仿宋_GB2312" w:hint="eastAsia"/>
          <w:bCs/>
          <w:iCs/>
          <w:sz w:val="24"/>
          <w:szCs w:val="24"/>
        </w:rPr>
        <w:t>0%（年化）。产品到期时，客户持有的份额依然为</w:t>
      </w:r>
      <w:r>
        <w:rPr>
          <w:rFonts w:ascii="仿宋_GB2312" w:eastAsia="仿宋_GB2312"/>
          <w:bCs/>
          <w:iCs/>
          <w:sz w:val="24"/>
          <w:szCs w:val="24"/>
        </w:rPr>
        <w:t>5</w:t>
      </w:r>
      <w:r>
        <w:rPr>
          <w:rFonts w:ascii="仿宋_GB2312" w:eastAsia="仿宋_GB2312" w:hint="eastAsia"/>
          <w:bCs/>
          <w:iCs/>
          <w:sz w:val="24"/>
          <w:szCs w:val="24"/>
        </w:rPr>
        <w:t>0,000.00份（即存续期中未发生提前终止或提前赎回），扣除托管费、销售手续费、银行固定管理费、估值服务费后，理财产品累计单位净值</w:t>
      </w:r>
      <w:r>
        <w:rPr>
          <w:rFonts w:ascii="仿宋_GB2312" w:eastAsia="仿宋_GB2312" w:hint="eastAsia"/>
          <w:sz w:val="24"/>
          <w:szCs w:val="24"/>
        </w:rPr>
        <w:t>（含分红）为</w:t>
      </w:r>
      <w:r>
        <w:rPr>
          <w:rFonts w:ascii="仿宋_GB2312" w:eastAsia="仿宋_GB2312" w:hint="eastAsia"/>
          <w:bCs/>
          <w:iCs/>
          <w:sz w:val="24"/>
          <w:szCs w:val="24"/>
        </w:rPr>
        <w:t>0.9975，则投资管理人不收取浮动管理费，客户最终收益</w:t>
      </w:r>
      <w:r>
        <w:rPr>
          <w:rFonts w:ascii="仿宋_GB2312" w:eastAsia="仿宋_GB2312" w:hint="eastAsia"/>
          <w:sz w:val="24"/>
          <w:szCs w:val="24"/>
        </w:rPr>
        <w:t>（含分红）</w:t>
      </w:r>
      <w:r>
        <w:rPr>
          <w:rFonts w:ascii="仿宋_GB2312" w:eastAsia="仿宋_GB2312" w:hint="eastAsia"/>
          <w:bCs/>
          <w:iCs/>
          <w:sz w:val="24"/>
          <w:szCs w:val="24"/>
        </w:rPr>
        <w:t>为：</w:t>
      </w:r>
    </w:p>
    <w:p w:rsidR="00CE313F" w:rsidRDefault="00CE313F" w:rsidP="00CE313F">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50,000.00×（0.9975-1.00）=-125.00（元）。</w:t>
      </w:r>
    </w:p>
    <w:p w:rsidR="00CE313F" w:rsidRDefault="00CE313F" w:rsidP="00CE313F">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 xml:space="preserve">本理财产品的理财收益测算和收益兑付均采用四舍五入至分计算。 </w:t>
      </w:r>
    </w:p>
    <w:p w:rsidR="00CE313F" w:rsidRDefault="00CE313F" w:rsidP="00CE313F">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理财收益情景分析均采用假设数据计算，仅为举例之用，不作为最终收益的计算依据，亦不构成银行对本理财产品任何收益的承诺。产品最终收益要以到期实际实现收益为准。</w:t>
      </w:r>
    </w:p>
    <w:p w:rsidR="00CE313F" w:rsidRDefault="00CE313F" w:rsidP="00CE313F">
      <w:pPr>
        <w:tabs>
          <w:tab w:val="left" w:pos="851"/>
        </w:tabs>
        <w:ind w:right="120" w:firstLineChars="196" w:firstLine="472"/>
        <w:rPr>
          <w:rFonts w:ascii="仿宋_GB2312" w:eastAsia="仿宋_GB2312"/>
          <w:b/>
          <w:bCs/>
          <w:sz w:val="24"/>
          <w:szCs w:val="24"/>
        </w:rPr>
      </w:pPr>
      <w:r>
        <w:rPr>
          <w:rFonts w:ascii="仿宋_GB2312" w:eastAsia="仿宋_GB2312" w:hint="eastAsia"/>
          <w:b/>
          <w:bCs/>
          <w:sz w:val="24"/>
          <w:szCs w:val="24"/>
        </w:rPr>
        <w:lastRenderedPageBreak/>
        <w:t>五、风险揭示</w:t>
      </w:r>
    </w:p>
    <w:p w:rsidR="00CE313F" w:rsidRDefault="00CE313F" w:rsidP="00CE313F">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本理财产品为封闭式净值型（非保本浮动收益型）理财产品，不保证本金和收益。投资者应认真阅读理财产品风险揭示部分，充分认识理财产品运作中可能面临的政策风险、信用风险、市场风险、流动性风险、理财产品不成立风险、提前终止风险、延期兑付风险、不可抗力及意外事件风险、信息传递风险、交易失败风险、税务风险等，基于自身的独立判断进行投资决策，详见《风险揭示书》。</w:t>
      </w:r>
    </w:p>
    <w:p w:rsidR="00CE313F" w:rsidRDefault="00CE313F" w:rsidP="00CE313F">
      <w:pPr>
        <w:tabs>
          <w:tab w:val="left" w:pos="851"/>
        </w:tabs>
        <w:ind w:right="120" w:firstLineChars="196" w:firstLine="472"/>
        <w:rPr>
          <w:rFonts w:ascii="仿宋_GB2312" w:eastAsia="仿宋_GB2312"/>
          <w:b/>
          <w:bCs/>
          <w:sz w:val="24"/>
          <w:szCs w:val="24"/>
        </w:rPr>
      </w:pPr>
      <w:r>
        <w:rPr>
          <w:rFonts w:ascii="仿宋_GB2312" w:eastAsia="仿宋_GB2312" w:hint="eastAsia"/>
          <w:b/>
          <w:bCs/>
          <w:sz w:val="24"/>
          <w:szCs w:val="24"/>
        </w:rPr>
        <w:t xml:space="preserve">六、信息披露 </w:t>
      </w:r>
    </w:p>
    <w:p w:rsidR="00CE313F" w:rsidRDefault="00CE313F" w:rsidP="00CE313F">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1、本理财产品持续期间内，产品管理人将严格按照相关法律法规、规章、监管规定和理财产品说明书的约定履行信息披露义务，及时、准确、完整地向理财产品投资者披露理财产品的募集信息、资金投向、杠杆水平、收益分配、托管安排、投资账户信息和主要投资风险等内容。投资者应及时通过天津农商银行营业网点或官方网站等渠道获知有关本理财产品相关信息，以及时掌握产品投资运作等情况。</w:t>
      </w:r>
    </w:p>
    <w:p w:rsidR="00CE313F" w:rsidRDefault="00CE313F" w:rsidP="00CE313F">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2、本理财产品正常成立后5个工作日内，产品管理人将通过天津农商银行官方网站（www.trcbank.com.cn）或网点等渠道发布产品发行公告，包括但不限于理财产品成立日期和募集规模等信息；如天津农商银行决定本理财产品不成立，将在决定理财产品不成立后的1个工作日内，在天津农商银行官方网站（www.trcbank.com.cn）或网点发布相关信息公告。</w:t>
      </w:r>
    </w:p>
    <w:p w:rsidR="00CE313F" w:rsidRDefault="00CE313F" w:rsidP="00CE313F">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3、产品管理人有权根据资金认购情况提前结束或延长产品认购期限，届时产品成立日、产品到期日随之进行调整。如产品管理人决定提前成立本理财产品或延长本理财产品认购期，将在决定后第2个工作日，在天津农商银行官方网站（www.trcbank.com.cn）或网点发布相关信息公告。</w:t>
      </w:r>
    </w:p>
    <w:p w:rsidR="00CE313F" w:rsidRDefault="00CE313F" w:rsidP="00CE313F">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4、本理财产品在产品终止后5个工作日内，产品管理人将通过天津农商银行官方网站（www.trcbank.com.cn）或网点等渠道发布产品到期公告，包括理财产品的存续期限、终止日期、收费情况和收益分配情况等信息；如遇提前终止本理财产品，天津农商银行将于终止日前3个工作日内在天津农商银行官方网站（www.trcbank.com.cn）或网点等渠道发布相关信息公告；如本理财产品需延期清算，将于到期日后3个工作日内在天津农商银行官方网站（www.trcbank.com.cn）或网点等渠道发布相关信息公告。</w:t>
      </w:r>
    </w:p>
    <w:p w:rsidR="00CE313F" w:rsidRDefault="00CE313F" w:rsidP="00CE313F">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5、本理财产品存续期间内，管理人至少每周在天津农商银行官方网站（www.trcbank.com.cn）或网点等渠道披露一次的资产净值和份额净值。</w:t>
      </w:r>
    </w:p>
    <w:p w:rsidR="00CE313F" w:rsidRDefault="00CE313F" w:rsidP="00CE313F">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6、产品管理人将于每个季度结束之日起15个工作日内、上半年结束之日起60个工作日内、每年结束之日起90个工作日内，在天津农商银行官方网站（www.trcbank.com.cn）或网点等渠道发布该产品的季度、半年和年度报告等定期报告，包括但不限于理财产品的存续规模、收益表现，并分别列示直接和间接投资的资产种类、投资比例、投资组合的流动性风险分析，以及前十项资产具体名称、规模和比例等信息。对产品成立不足90个工作日或者剩余存续期不超过90个工作日的，管理人可以不编制理财产品当期的季度、半年和年度报告。</w:t>
      </w:r>
    </w:p>
    <w:p w:rsidR="00CE313F" w:rsidRDefault="00CE313F" w:rsidP="00CE313F">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7、如遇金融市场发生重大变化导致理财产品投资比例暂时超出浮动区间且可能对理财产品收益产生重大影响时，或者由于其他不可预测的原因引发的理财产品要素发生较大变化时，以及理财资金投资的资产风险状况发生实质性变化等重大事项，管理人将在发生可能对理财产品投资者或者理财产品收益产生</w:t>
      </w:r>
      <w:r>
        <w:rPr>
          <w:rFonts w:ascii="仿宋_GB2312" w:eastAsia="仿宋_GB2312" w:hint="eastAsia"/>
          <w:bCs/>
          <w:iCs/>
          <w:sz w:val="24"/>
          <w:szCs w:val="24"/>
        </w:rPr>
        <w:lastRenderedPageBreak/>
        <w:t>重大影响的事件后2个工作日内通过天津农商银行官方网站（www.trcbank.com.cn）或网点等渠道发布公告。</w:t>
      </w:r>
    </w:p>
    <w:p w:rsidR="00CE313F" w:rsidRDefault="00CE313F" w:rsidP="00CE313F">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8、在收益分配基准日后3个工作日内，管理人通过天津农商银行官网以公告形式，对本理财产品是否分红、具体分红方案（如有）进行信息披露。</w:t>
      </w:r>
    </w:p>
    <w:p w:rsidR="00CE313F" w:rsidRDefault="00CE313F" w:rsidP="00CE313F">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9、为保证投资者及时获取理财业务信息，我行将通过短信等方式，向投资者签约理财业务时预留的手机号码发送业务提示信息。该服务暂不收取任何费用。如投资者拒绝接收提示短信，请按照短信提示退订该服务。如您的手机号码或其他联系方式变更，应及时通知天津农商银行。</w:t>
      </w:r>
    </w:p>
    <w:p w:rsidR="00CE313F" w:rsidRDefault="00CE313F" w:rsidP="00CE313F">
      <w:pPr>
        <w:tabs>
          <w:tab w:val="left" w:pos="851"/>
        </w:tabs>
        <w:ind w:right="120" w:firstLineChars="196" w:firstLine="472"/>
        <w:rPr>
          <w:rFonts w:ascii="仿宋_GB2312" w:eastAsia="仿宋_GB2312"/>
          <w:b/>
          <w:bCs/>
          <w:sz w:val="24"/>
          <w:szCs w:val="24"/>
        </w:rPr>
      </w:pPr>
      <w:r>
        <w:rPr>
          <w:rFonts w:ascii="仿宋_GB2312" w:eastAsia="仿宋_GB2312" w:hint="eastAsia"/>
          <w:b/>
          <w:bCs/>
          <w:sz w:val="24"/>
          <w:szCs w:val="24"/>
        </w:rPr>
        <w:t>七、特别提示</w:t>
      </w:r>
    </w:p>
    <w:p w:rsidR="00CE313F" w:rsidRDefault="00CE313F" w:rsidP="00CE313F">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投资者阅读并签署《天津农商银行风险揭示书》、《天津农商银行理财客户权益须知》、《天津农商银行理财产品协议书》及相应产品说明书后，即视为投资者对天津农商银行做出以下承诺：</w:t>
      </w:r>
    </w:p>
    <w:p w:rsidR="00CE313F" w:rsidRDefault="00CE313F" w:rsidP="00CE313F">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1、投资者保证资金来源合法且合法拥有（不属于挪用信贷资金或发行债券等筹集的非自有资金购买理财产品，利用信用卡现金分期资金购买理财产品，通过贴现资金回流购买理财等），其投资本理财产品已得到相关的授权，不违反任何法律、法规、监管的规定。</w:t>
      </w:r>
    </w:p>
    <w:p w:rsidR="00CE313F" w:rsidRDefault="00CE313F" w:rsidP="00CE313F">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2、投资者同意天津农商银行根据说明书配置资产，由天津农商银行代表投资者以天津农商银行名义签署相关法律性文件，并由天津农商银行委托第三方托管理财资产。</w:t>
      </w:r>
    </w:p>
    <w:p w:rsidR="00CE313F" w:rsidRDefault="00CE313F" w:rsidP="00CE313F">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3、投资者已清楚知晓，并愿意承担本理财产品的所有风险。</w:t>
      </w:r>
    </w:p>
    <w:p w:rsidR="00CE313F" w:rsidRDefault="00CE313F" w:rsidP="00CE313F">
      <w:pPr>
        <w:tabs>
          <w:tab w:val="left" w:pos="851"/>
        </w:tabs>
        <w:ind w:right="120" w:firstLineChars="200" w:firstLine="482"/>
        <w:rPr>
          <w:rFonts w:ascii="仿宋_GB2312" w:eastAsia="仿宋_GB2312" w:hint="eastAsia"/>
          <w:b/>
          <w:sz w:val="24"/>
          <w:szCs w:val="24"/>
        </w:rPr>
      </w:pPr>
      <w:r>
        <w:rPr>
          <w:rFonts w:ascii="仿宋_GB2312" w:eastAsia="仿宋_GB2312" w:hint="eastAsia"/>
          <w:b/>
          <w:sz w:val="24"/>
          <w:szCs w:val="24"/>
        </w:rPr>
        <w:t>4、基于天津农商行办理本产品合同项下业务、履行合同、进行服务管理和风险管理、报送监管信息、履行反洗钱、反恐怖融资、非居民金融账户涉税信息尽职调查、投资者资质审核和销售适当性等法律、法规和监管要求义务的需要，投资者同意授权天津农商银行在业务办理或履行过程中自行通过本行销售渠道查询、收集、加工、保存、使用及向监管部门等有权机关报送投资者信息,包括：姓名、性别、国籍、身份证明文件信息、身份信息、联系方式、财产信息、账户信息、金融交易信息及法律法规、监管要求及行业自律准则规定的等信息。机构投资者在购买本产品前，应将金融信息保护条款内容传达给授权办理业务人员、法定代表人、实际控制人、受益所有人等相关人士，确保其知晓并充分理解金融信息保护条款及相应的法律后果，并获得其授权或同意。机构投资者签署理财产品说明书、理财协议等销售文件即视为机构投资者及机构投资者的授权办理人员、法定代表人、实际控制人、受益所有人等相关人士接受本条款。</w:t>
      </w:r>
    </w:p>
    <w:p w:rsidR="00CE313F" w:rsidRDefault="00CE313F" w:rsidP="00CE313F">
      <w:pPr>
        <w:tabs>
          <w:tab w:val="left" w:pos="851"/>
        </w:tabs>
        <w:ind w:right="120" w:firstLineChars="200" w:firstLine="482"/>
        <w:rPr>
          <w:rFonts w:ascii="仿宋_GB2312" w:eastAsia="仿宋_GB2312" w:hint="eastAsia"/>
          <w:b/>
          <w:sz w:val="24"/>
          <w:szCs w:val="24"/>
        </w:rPr>
      </w:pPr>
      <w:r>
        <w:rPr>
          <w:rFonts w:ascii="仿宋_GB2312" w:eastAsia="仿宋_GB2312" w:hint="eastAsia"/>
          <w:b/>
          <w:sz w:val="24"/>
          <w:szCs w:val="24"/>
        </w:rPr>
        <w:t>除法律法规另有规定或监管机构另有要求外，未经投资者书面许可，天津农商银行不会向任何组织、个人提供或泄漏与投资者有关的业务资料等信息。天津农商银行仅在法律法规、监管规定要求的期限内，以及为实现本业务信息处理目的所必需的时限内保留您的个人信息，如根据《理财公司理财产品销售管理暂行办法》，保存投资者理财产品销售相关资料的期限为至少20年。天津农商银行亦承诺将严格遵守法律法规规定，强化信息安全管理，依法履行信息保密义务，加强对投资者个人金融信息的保护，不做篡改或违法使用，并采取有效措施防止个人金融信息被滥用、非法使用、泄露或出售，保护投资者合法权益。</w:t>
      </w:r>
    </w:p>
    <w:p w:rsidR="00CE313F" w:rsidRDefault="00CE313F" w:rsidP="00CE313F">
      <w:pPr>
        <w:tabs>
          <w:tab w:val="left" w:pos="851"/>
        </w:tabs>
        <w:ind w:right="120" w:firstLineChars="200" w:firstLine="480"/>
        <w:rPr>
          <w:rFonts w:ascii="仿宋_GB2312" w:eastAsia="仿宋_GB2312" w:hint="eastAsia"/>
          <w:bCs/>
          <w:sz w:val="24"/>
          <w:szCs w:val="24"/>
        </w:rPr>
      </w:pPr>
    </w:p>
    <w:p w:rsidR="00CE313F" w:rsidRDefault="00CE313F" w:rsidP="00CE313F">
      <w:pPr>
        <w:tabs>
          <w:tab w:val="left" w:pos="851"/>
        </w:tabs>
        <w:ind w:right="120" w:firstLineChars="200" w:firstLine="482"/>
        <w:rPr>
          <w:rFonts w:ascii="仿宋_GB2312" w:eastAsia="仿宋_GB2312" w:hint="eastAsia"/>
          <w:b/>
          <w:sz w:val="24"/>
          <w:szCs w:val="24"/>
        </w:rPr>
      </w:pPr>
      <w:r>
        <w:rPr>
          <w:rFonts w:ascii="仿宋_GB2312" w:eastAsia="仿宋_GB2312" w:hint="eastAsia"/>
          <w:b/>
          <w:sz w:val="24"/>
          <w:szCs w:val="24"/>
        </w:rPr>
        <w:t>天津农商银行将恪守勤勉尽责的原则，合理配置资产组合，为投资者提供</w:t>
      </w:r>
      <w:r>
        <w:rPr>
          <w:rFonts w:ascii="仿宋_GB2312" w:eastAsia="仿宋_GB2312" w:hint="eastAsia"/>
          <w:b/>
          <w:sz w:val="24"/>
          <w:szCs w:val="24"/>
        </w:rPr>
        <w:lastRenderedPageBreak/>
        <w:t>专业化的理财服务；加强信息安全管理，依法履行信息保密义务，保护投资者合法权益。</w:t>
      </w:r>
    </w:p>
    <w:p w:rsidR="00CE313F" w:rsidRDefault="00CE313F" w:rsidP="00CE313F">
      <w:pPr>
        <w:jc w:val="center"/>
        <w:rPr>
          <w:rFonts w:ascii="仿宋_GB2312" w:eastAsia="仿宋_GB2312" w:hint="eastAsia"/>
          <w:bCs/>
          <w:sz w:val="24"/>
          <w:szCs w:val="24"/>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b/>
          <w:sz w:val="36"/>
          <w:szCs w:val="36"/>
        </w:rPr>
      </w:pPr>
    </w:p>
    <w:p w:rsidR="00CE313F" w:rsidRDefault="00CE313F" w:rsidP="00CE313F">
      <w:pPr>
        <w:jc w:val="center"/>
        <w:rPr>
          <w:rFonts w:ascii="黑体" w:eastAsia="黑体" w:hAnsi="黑体" w:hint="eastAsia"/>
          <w:b/>
          <w:sz w:val="36"/>
          <w:szCs w:val="36"/>
        </w:rPr>
      </w:pPr>
      <w:r>
        <w:rPr>
          <w:rFonts w:ascii="黑体" w:eastAsia="黑体" w:hAnsi="黑体" w:hint="eastAsia"/>
          <w:b/>
          <w:sz w:val="36"/>
          <w:szCs w:val="36"/>
        </w:rPr>
        <w:lastRenderedPageBreak/>
        <w:t>天津农村商业银行股份有限公司人民币理财产品</w:t>
      </w:r>
    </w:p>
    <w:p w:rsidR="00CE313F" w:rsidRDefault="00CE313F" w:rsidP="00CE313F">
      <w:pPr>
        <w:jc w:val="center"/>
        <w:rPr>
          <w:rFonts w:ascii="黑体" w:eastAsia="黑体" w:hAnsi="黑体" w:hint="eastAsia"/>
          <w:b/>
          <w:sz w:val="36"/>
          <w:szCs w:val="36"/>
        </w:rPr>
      </w:pPr>
      <w:r>
        <w:rPr>
          <w:rFonts w:ascii="黑体" w:eastAsia="黑体" w:hAnsi="黑体" w:hint="eastAsia"/>
          <w:b/>
          <w:sz w:val="36"/>
          <w:szCs w:val="36"/>
        </w:rPr>
        <w:t>协议条款</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 xml:space="preserve">经甲方（客户）与乙方（天津农村商业银行股份有限公司）协商一致，签署本协议如下： </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一、委托关系：甲方购买乙方的人民币理财产品，将人民币资金委托给乙方，由乙方代理甲方依照协议内容及对应产品说明要求进行投资，并在甲方赎回确认日或产品实际到期日按合同约定和投资收益情况向甲方分配本金及收益。</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二、理财业务相关规定</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1、甲方应保证其对委托给乙方的资金拥有所有权，且资金来源合法。</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甲乙双方共同指定甲方在乙方处开立的结算账户，用于理财账户管理和理财资金的结算。个人理财账户签约介质类型为借记卡，理财产品交易介质可为借记卡或具备资金划付功能的电子账户；机构理财账户签约介质为基本或一般结算账户，若在理财产品存续期间，理财资金账户信息发生变更，甲方应及时通知乙方并在理财销售系统变更理财账户信息。</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3、甲方保证理财协议中客户信息与其理财资金账户对应的客户信息一致。</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三、双方的声明和保证</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方保证能够自行识别、判断和承担理财产品的相关风险；不存在法律法规、有权机关或主管机关禁止或限制购买理财产品的各种情形，其购买理财产品的行为亦未违反其公司章程或其他文件的任何限制性规定，并熟悉理财产品类型特征及不同销售渠道的相关规定。</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乙方保证自身具有开办理财业务的经营资质，保证以诚实信用、勤勉谨慎的原则管理和运用理财资金。</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甲方声明并保证其用于投资理财产品的资金来源，不涉及以下几种情况：挪用信贷资金或发行债券等筹集的非自有资金购买理财产品；利用信用卡现金分期资金购买理财产品；通过贴现资金回流购买理财等。</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甲、乙双方对本协议及其条款负有保密义务，除法律、法规另有规定或监管机构另有要求外，未经一方书面许可，不得向任何组织、个人提供或泄露与对方有关的业务资料及信息。</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四、理财产品的认购和起息</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1、自甲方认购理财产品的交易确认日至理财产品募集结束日，乙方将对甲方理财资金进行止付交易。理财产品募集期届满后，乙方通过乙方内部信息系统扣划理财资金，按照产品说明的约定进行指定投资。</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2、甲方理财资金在募集期间按活期储蓄利率计息，该利息不计入甲方的理财资金。甲方理财资金在募集期结束日至产品起始日（如有）不计息。</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3、乙方有权根据法律法规变化、市场状况、资金募集情况或在出现其他可能影响理财产品正常运作或投资目标实现的情形时，作出暂停／恢复募集、延长募集期限、提前结束募集宣布产品成立、或者终止募集宣布募集失败的决定，有权作出理财产品能否按照产品说明书列明的起息日开始投资运作的决定，并通过约定信息披露途径予以通知。</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五、理财产品的投资管理</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乙方按照法律法规和产品说明书的约定，诚实信用、谨慎勤勉地实施投资管理行为，以专业技能管理理财产品资产，依法维护理财产品全体投资者的利益。乙方不对任何理财产品的收益情况作出承诺或保证，亦不会承诺或保证最低收益或本金安全。乙方应依照产品说明书载明的投资范围、资产种类和比例进行投资，并确保在理财产品存续期间按约定比例合理浮动。如市场发生重大变化导致投资比例暂时超出浮动区间且可能对甲方预期收益产生重大影响，乙方将通过约定的披露方式及时进行信息披露。</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六、理财产品的申购和赎回</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如理财产品存续期间允许申购或赎回，其交易渠道、时间、程序、金额限制、价格计算方法、费用费率等按照产品说明书的约定执行。</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七、理财产品的终止</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甲方同意在出现下列情形之一时，乙方有权单方面提前终止理财产品。乙方决定提前终止理财产品的，应提前通过约定的信息披露途径通知，并依照约定分配理财资金及收益：</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lastRenderedPageBreak/>
        <w:t>1、产品说明书列明的提前终止情形出现或提前终止条件成立；</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2、因不可抗力原因导致理财产品无法继续运作；</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3、遇有市场剧烈波动、异常风险事件等情形导致理财产品净值出现大幅波动或严重影响理财产品的资产安全；</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4、因投资者赎回导致理财产品剩余资产无法满足相关法律法规规定、所投资市场要求或协议等相关法律文件约定，或者继续存续无法实现投资目标；</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5、因相关投资管理机构解散、破产、撤销、被取消业务资格等原因无法继续履行相关职责导致产品无法继续运作；</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6、相关投资管理机构或运用理财资金的第三方主体实施符合法律法规规定或协议等相关法律文件约定的行为导致理财产品被动提前终止；</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7、因法律法规变化或国家金融政策调整、紧急措施出台影响产品继续正常运作；</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8、法律法规规定或监管部门认定的其他情形。</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八、资金清算和收益分配</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1、乙方按照产品说明书的约定计算和支付收益（如有）。如因甲方资金账户余额不足或状态异常等，造成认购、申购交易确认失败或赎回资金、现金分红、到期兑付资金无法按时入账，由甲方自行承担相应损失。</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2、理财产品收益的分配原则为：每份理财产品享有同等分配权，但法律法规另有规定或产品说明书另有约定的除外。</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九、费用支出和业绩报酬</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1、乙方有权依据产品说明书约定的费用项目、收费条件、收费方式、费率标准等要素，从甲方理财资金或应分配款项中直接扣除相关费用及提取业绩报酬。</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2、乙方根据相关法律和国家政策规定调整已约定的收费项目、条件、标准和方式时，将按约定信息披露方式予以披露。甲方如不接受，可按约定的期限和方式申请赎回理财产品。</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十、税收处理</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甲方所得收益的税负由甲方自行按照相关法律法规向税务机关申报、缴纳。若法律法规规定或税务机关要求乙方对甲方所得收益代扣代缴的，乙方将按有关规定执行。</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十一、如理财产品允许客户开立理财资产证明，甲方可遵照乙方相关业务规定向乙方申请办理，但理财资产证明不得作为质押权利凭证。</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 xml:space="preserve">十二、乙方按照理财产品说明书约定的途径及频率披露理财产品相关信息。对甲方未依照产品说明途径获取产品信息而造成的损失，由甲方自行承担。 </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十三、理财产品存续期间，乙方有权通过约定的信息披露途径发布公告，对说明书条款进行补充、说明和修改，    甲方应定期通过上述渠道获知相关信息。</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十四、违约责任</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方违反本协议第三条所作声明或保证的，应承担相应违约责任。乙方对由此导致的理财业务交易延误、中断、终止及甲方损失不承担任何责任，并有权单方终止双方的理财业务关系。因甲方违反双方约定解除本协议或赎回理财产品给乙方或理财产品全体投资者造成损失的，甲方应承担相应的赔偿责任。</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 xml:space="preserve">十五、免责内容 </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 xml:space="preserve">1、由于地震、火灾、战争等不可抗力导致的交易中断、延误等风险及损失，乙方不承担责任，但应及时通知甲方，并采取一切必要的补救措施以减少不可抗力造成的损失。 </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2、由于国家有关法律、法规、政策的改变以及紧急措施的出台而导致甲方损失，乙方不承担责任。</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3、本协议中涉及的所有日期遇中国及国际市场银行假日，若顺延至下一工作日的，由此导致的资金收益风险由甲方承担，乙方不承担责任。</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4、如由于甲方的原因，理财资金被司法机关或政府部门冻结、扣划，由此产生的一切损失由甲方承担。</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5、未经乙方事先书面同意，甲方不得转让认购／申购成功的理财产品份额。未经乙方同意的转让行为，乙方不进行理财份额变更登记，由此产生的一切损失由甲方承担。</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十六、理财产品销售协议书、产品说明书、风险揭示书及客户权益须知共同构成完整的理财合同。</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lastRenderedPageBreak/>
        <w:t>十七、本协议于甲乙双方签署后生效。理财产品到期、提前终止、全部赎回并结清后，本协议自动终止。甲方通过乙方网上银行、手机银行等电子渠道自行确认协议后生效，但双方另有约定的除外。</w:t>
      </w:r>
    </w:p>
    <w:p w:rsidR="00CE313F" w:rsidRDefault="00CE313F" w:rsidP="00CE313F">
      <w:pPr>
        <w:spacing w:line="240" w:lineRule="atLeast"/>
        <w:ind w:leftChars="-202" w:left="-424" w:right="-341"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十八、本协议履行过程中发生纠纷，各方应积极协商解决，协商不成的提交乙方所在地人民法院通过诉讼方式解决。</w:t>
      </w:r>
    </w:p>
    <w:p w:rsidR="00CE313F" w:rsidRDefault="00CE313F" w:rsidP="00CE313F">
      <w:pPr>
        <w:tabs>
          <w:tab w:val="left" w:pos="851"/>
        </w:tabs>
        <w:ind w:right="120" w:firstLineChars="200" w:firstLine="480"/>
        <w:rPr>
          <w:rFonts w:ascii="仿宋_GB2312" w:eastAsia="仿宋_GB2312" w:hint="eastAsia"/>
          <w:bCs/>
          <w:sz w:val="24"/>
          <w:szCs w:val="24"/>
        </w:rPr>
      </w:pPr>
    </w:p>
    <w:p w:rsidR="00CE313F" w:rsidRDefault="00CE313F" w:rsidP="00CE313F">
      <w:pPr>
        <w:spacing w:line="240" w:lineRule="atLeast"/>
        <w:rPr>
          <w:rFonts w:ascii="仿宋_GB2312" w:eastAsia="仿宋_GB2312" w:hAnsi="仿宋"/>
          <w:bCs/>
          <w:iCs/>
          <w:sz w:val="18"/>
          <w:szCs w:val="18"/>
        </w:rPr>
      </w:pPr>
    </w:p>
    <w:p w:rsidR="00110F60" w:rsidRPr="00CE313F" w:rsidRDefault="00110F60" w:rsidP="00CE313F">
      <w:bookmarkStart w:id="0" w:name="_GoBack"/>
      <w:bookmarkEnd w:id="0"/>
    </w:p>
    <w:sectPr w:rsidR="00110F60" w:rsidRPr="00CE313F">
      <w:headerReference w:type="default" r:id="rId9"/>
      <w:footerReference w:type="default" r:id="rId10"/>
      <w:footerReference w:type="firs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7DE" w:rsidRDefault="005B67DE">
      <w:r>
        <w:separator/>
      </w:r>
    </w:p>
  </w:endnote>
  <w:endnote w:type="continuationSeparator" w:id="0">
    <w:p w:rsidR="005B67DE" w:rsidRDefault="005B6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楷体_GB2312">
    <w:altName w:val="楷体"/>
    <w:charset w:val="00"/>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F60" w:rsidRDefault="005B67DE">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E313F">
      <w:rPr>
        <w:b/>
        <w:bCs/>
        <w:noProof/>
      </w:rPr>
      <w:t>18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E313F">
      <w:rPr>
        <w:b/>
        <w:bCs/>
        <w:noProof/>
      </w:rPr>
      <w:t>18</w:t>
    </w:r>
    <w:r>
      <w:rPr>
        <w:b/>
        <w:bCs/>
        <w:sz w:val="24"/>
        <w:szCs w:val="24"/>
      </w:rPr>
      <w:fldChar w:fldCharType="end"/>
    </w:r>
  </w:p>
  <w:p w:rsidR="00110F60" w:rsidRDefault="00110F60">
    <w:pPr>
      <w:pStyle w:val="a7"/>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F60" w:rsidRDefault="00110F60">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7DE" w:rsidRDefault="005B67DE">
      <w:r>
        <w:separator/>
      </w:r>
    </w:p>
  </w:footnote>
  <w:footnote w:type="continuationSeparator" w:id="0">
    <w:p w:rsidR="005B67DE" w:rsidRDefault="005B67DE">
      <w:r>
        <w:continuationSeparator/>
      </w:r>
    </w:p>
  </w:footnote>
  <w:footnote w:id="1">
    <w:p w:rsidR="00CE313F" w:rsidRDefault="00CE313F" w:rsidP="00CE313F">
      <w:pPr>
        <w:pStyle w:val="a9"/>
        <w:rPr>
          <w:rFonts w:hint="eastAsia"/>
        </w:rPr>
      </w:pPr>
      <w:r>
        <w:rPr>
          <w:rStyle w:val="ad"/>
        </w:rPr>
        <w:footnoteRef/>
      </w:r>
      <w:r>
        <w:t xml:space="preserve"> </w:t>
      </w:r>
      <w:r>
        <w:rPr>
          <w:rFonts w:hint="eastAsia"/>
        </w:rPr>
        <w:t>观察是否满足分红条件的日期。</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F60" w:rsidRDefault="005B67DE">
    <w:pPr>
      <w:pStyle w:val="a8"/>
      <w:wordWrap w:val="0"/>
      <w:jc w:val="right"/>
    </w:pPr>
    <w:r>
      <w:rPr>
        <w:rFonts w:hint="eastAsia"/>
      </w:rPr>
      <w:t>理财非存款，产品有风险，投资需谨慎</w:t>
    </w:r>
    <w:r>
      <w:rPr>
        <w:rFonts w:hint="eastAsia"/>
      </w:rPr>
      <w:t xml:space="preserve">                    </w:t>
    </w:r>
    <w:r>
      <w:t>JXRS</w: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yZjY0OTQxN2JiMGQ5ZDRhYzc0OTFjZjNlYzE1MmMifQ=="/>
  </w:docVars>
  <w:rsids>
    <w:rsidRoot w:val="00E53213"/>
    <w:rsid w:val="00005A6D"/>
    <w:rsid w:val="00010D32"/>
    <w:rsid w:val="00012270"/>
    <w:rsid w:val="00013192"/>
    <w:rsid w:val="00013251"/>
    <w:rsid w:val="00016BD6"/>
    <w:rsid w:val="00016D45"/>
    <w:rsid w:val="00025177"/>
    <w:rsid w:val="00027470"/>
    <w:rsid w:val="00032800"/>
    <w:rsid w:val="00032B3B"/>
    <w:rsid w:val="00032DDC"/>
    <w:rsid w:val="000348B8"/>
    <w:rsid w:val="00035D5F"/>
    <w:rsid w:val="00037114"/>
    <w:rsid w:val="000373B3"/>
    <w:rsid w:val="0004048D"/>
    <w:rsid w:val="00042E8F"/>
    <w:rsid w:val="00045CEF"/>
    <w:rsid w:val="0004797E"/>
    <w:rsid w:val="0005131F"/>
    <w:rsid w:val="00051344"/>
    <w:rsid w:val="00053ABF"/>
    <w:rsid w:val="000563E7"/>
    <w:rsid w:val="00061AD2"/>
    <w:rsid w:val="00062DEA"/>
    <w:rsid w:val="000633B7"/>
    <w:rsid w:val="000654C6"/>
    <w:rsid w:val="00065806"/>
    <w:rsid w:val="000667F4"/>
    <w:rsid w:val="00066D9D"/>
    <w:rsid w:val="000677F5"/>
    <w:rsid w:val="0007358E"/>
    <w:rsid w:val="00074942"/>
    <w:rsid w:val="00075AAB"/>
    <w:rsid w:val="00077708"/>
    <w:rsid w:val="00082AA2"/>
    <w:rsid w:val="00083E92"/>
    <w:rsid w:val="00090FA8"/>
    <w:rsid w:val="00092768"/>
    <w:rsid w:val="00092F46"/>
    <w:rsid w:val="00093956"/>
    <w:rsid w:val="00093C80"/>
    <w:rsid w:val="00097C55"/>
    <w:rsid w:val="000A161C"/>
    <w:rsid w:val="000A3629"/>
    <w:rsid w:val="000A3C42"/>
    <w:rsid w:val="000A3E1D"/>
    <w:rsid w:val="000B2881"/>
    <w:rsid w:val="000B4B4A"/>
    <w:rsid w:val="000B4BD9"/>
    <w:rsid w:val="000C1D89"/>
    <w:rsid w:val="000C2742"/>
    <w:rsid w:val="000C2985"/>
    <w:rsid w:val="000C3725"/>
    <w:rsid w:val="000C38E6"/>
    <w:rsid w:val="000C47F0"/>
    <w:rsid w:val="000C5B5E"/>
    <w:rsid w:val="000C60DF"/>
    <w:rsid w:val="000C780F"/>
    <w:rsid w:val="000C7913"/>
    <w:rsid w:val="000D03D6"/>
    <w:rsid w:val="000D0CD1"/>
    <w:rsid w:val="000D1FB7"/>
    <w:rsid w:val="000D2C76"/>
    <w:rsid w:val="000D6273"/>
    <w:rsid w:val="000D65FC"/>
    <w:rsid w:val="000E32DF"/>
    <w:rsid w:val="000E6F58"/>
    <w:rsid w:val="000F2F53"/>
    <w:rsid w:val="000F54E2"/>
    <w:rsid w:val="001001F3"/>
    <w:rsid w:val="00100B1D"/>
    <w:rsid w:val="00107F6D"/>
    <w:rsid w:val="00110F60"/>
    <w:rsid w:val="00111FA7"/>
    <w:rsid w:val="00112302"/>
    <w:rsid w:val="00123361"/>
    <w:rsid w:val="00131158"/>
    <w:rsid w:val="0013216D"/>
    <w:rsid w:val="00133ACE"/>
    <w:rsid w:val="00133C4B"/>
    <w:rsid w:val="00134A8B"/>
    <w:rsid w:val="00141372"/>
    <w:rsid w:val="00142FCE"/>
    <w:rsid w:val="00143186"/>
    <w:rsid w:val="00144235"/>
    <w:rsid w:val="00145F88"/>
    <w:rsid w:val="00155858"/>
    <w:rsid w:val="00156A83"/>
    <w:rsid w:val="00156ABF"/>
    <w:rsid w:val="001657BC"/>
    <w:rsid w:val="0017158A"/>
    <w:rsid w:val="00172992"/>
    <w:rsid w:val="00180C6C"/>
    <w:rsid w:val="00184B2E"/>
    <w:rsid w:val="00190101"/>
    <w:rsid w:val="00190139"/>
    <w:rsid w:val="00191D07"/>
    <w:rsid w:val="00193156"/>
    <w:rsid w:val="001945DF"/>
    <w:rsid w:val="00194F39"/>
    <w:rsid w:val="00195123"/>
    <w:rsid w:val="00196360"/>
    <w:rsid w:val="00196EA9"/>
    <w:rsid w:val="001A21C9"/>
    <w:rsid w:val="001A2430"/>
    <w:rsid w:val="001A39F3"/>
    <w:rsid w:val="001A59D9"/>
    <w:rsid w:val="001B4F66"/>
    <w:rsid w:val="001B616D"/>
    <w:rsid w:val="001C0231"/>
    <w:rsid w:val="001C1710"/>
    <w:rsid w:val="001C4B7E"/>
    <w:rsid w:val="001C617E"/>
    <w:rsid w:val="001C6B42"/>
    <w:rsid w:val="001D0D46"/>
    <w:rsid w:val="001D31E6"/>
    <w:rsid w:val="001D3574"/>
    <w:rsid w:val="001D47E9"/>
    <w:rsid w:val="001D5976"/>
    <w:rsid w:val="001D6BF6"/>
    <w:rsid w:val="001E364E"/>
    <w:rsid w:val="001E6362"/>
    <w:rsid w:val="001E75C4"/>
    <w:rsid w:val="001F10F2"/>
    <w:rsid w:val="001F2983"/>
    <w:rsid w:val="001F6071"/>
    <w:rsid w:val="002010C7"/>
    <w:rsid w:val="002076B0"/>
    <w:rsid w:val="0021314E"/>
    <w:rsid w:val="0022015B"/>
    <w:rsid w:val="00225C17"/>
    <w:rsid w:val="00226389"/>
    <w:rsid w:val="0022649D"/>
    <w:rsid w:val="002268B8"/>
    <w:rsid w:val="002309D6"/>
    <w:rsid w:val="002336CD"/>
    <w:rsid w:val="00234357"/>
    <w:rsid w:val="002357FC"/>
    <w:rsid w:val="0024034E"/>
    <w:rsid w:val="00242D46"/>
    <w:rsid w:val="00242D88"/>
    <w:rsid w:val="002468DB"/>
    <w:rsid w:val="00246C89"/>
    <w:rsid w:val="00247B2F"/>
    <w:rsid w:val="00250E13"/>
    <w:rsid w:val="00251718"/>
    <w:rsid w:val="0025259F"/>
    <w:rsid w:val="00257C6D"/>
    <w:rsid w:val="00257F72"/>
    <w:rsid w:val="00261F1D"/>
    <w:rsid w:val="002673B1"/>
    <w:rsid w:val="0027031A"/>
    <w:rsid w:val="00270789"/>
    <w:rsid w:val="00276ED7"/>
    <w:rsid w:val="002848D0"/>
    <w:rsid w:val="00285687"/>
    <w:rsid w:val="0028577B"/>
    <w:rsid w:val="002861B3"/>
    <w:rsid w:val="00286804"/>
    <w:rsid w:val="0029088E"/>
    <w:rsid w:val="00295ED8"/>
    <w:rsid w:val="002A309A"/>
    <w:rsid w:val="002A4D09"/>
    <w:rsid w:val="002A52B9"/>
    <w:rsid w:val="002B0A09"/>
    <w:rsid w:val="002B1A2F"/>
    <w:rsid w:val="002B51C5"/>
    <w:rsid w:val="002B55D4"/>
    <w:rsid w:val="002B78D2"/>
    <w:rsid w:val="002C1317"/>
    <w:rsid w:val="002C6306"/>
    <w:rsid w:val="002C77BA"/>
    <w:rsid w:val="002D63BC"/>
    <w:rsid w:val="002E1BF3"/>
    <w:rsid w:val="002E402D"/>
    <w:rsid w:val="002F5396"/>
    <w:rsid w:val="002F56D4"/>
    <w:rsid w:val="003001E0"/>
    <w:rsid w:val="00301587"/>
    <w:rsid w:val="0030208A"/>
    <w:rsid w:val="0030751D"/>
    <w:rsid w:val="00310E2A"/>
    <w:rsid w:val="0031278C"/>
    <w:rsid w:val="00312FBA"/>
    <w:rsid w:val="00313E6B"/>
    <w:rsid w:val="00314D1B"/>
    <w:rsid w:val="00315B15"/>
    <w:rsid w:val="00323813"/>
    <w:rsid w:val="00331942"/>
    <w:rsid w:val="00332D0E"/>
    <w:rsid w:val="00333055"/>
    <w:rsid w:val="00333438"/>
    <w:rsid w:val="003336FE"/>
    <w:rsid w:val="003344E2"/>
    <w:rsid w:val="00341C75"/>
    <w:rsid w:val="00343DC9"/>
    <w:rsid w:val="00345DDA"/>
    <w:rsid w:val="003472FE"/>
    <w:rsid w:val="00347DF8"/>
    <w:rsid w:val="00351633"/>
    <w:rsid w:val="00353262"/>
    <w:rsid w:val="003533CA"/>
    <w:rsid w:val="00353C89"/>
    <w:rsid w:val="00355E83"/>
    <w:rsid w:val="00360013"/>
    <w:rsid w:val="00363464"/>
    <w:rsid w:val="00363839"/>
    <w:rsid w:val="003652E9"/>
    <w:rsid w:val="00373848"/>
    <w:rsid w:val="00373CB9"/>
    <w:rsid w:val="0037472E"/>
    <w:rsid w:val="00377A89"/>
    <w:rsid w:val="00380260"/>
    <w:rsid w:val="003813F0"/>
    <w:rsid w:val="0038189E"/>
    <w:rsid w:val="00384620"/>
    <w:rsid w:val="00393B1E"/>
    <w:rsid w:val="00393EBD"/>
    <w:rsid w:val="0039598B"/>
    <w:rsid w:val="00396772"/>
    <w:rsid w:val="00396FEE"/>
    <w:rsid w:val="00397350"/>
    <w:rsid w:val="003A10B9"/>
    <w:rsid w:val="003A2564"/>
    <w:rsid w:val="003A279B"/>
    <w:rsid w:val="003A7649"/>
    <w:rsid w:val="003A7D28"/>
    <w:rsid w:val="003A7FC8"/>
    <w:rsid w:val="003B033C"/>
    <w:rsid w:val="003B18DB"/>
    <w:rsid w:val="003B570E"/>
    <w:rsid w:val="003B68DE"/>
    <w:rsid w:val="003B7473"/>
    <w:rsid w:val="003C1939"/>
    <w:rsid w:val="003C24EA"/>
    <w:rsid w:val="003C2536"/>
    <w:rsid w:val="003C7F98"/>
    <w:rsid w:val="003D0D1F"/>
    <w:rsid w:val="003D31D9"/>
    <w:rsid w:val="003D360B"/>
    <w:rsid w:val="003D3B71"/>
    <w:rsid w:val="003D4848"/>
    <w:rsid w:val="003D4D31"/>
    <w:rsid w:val="003E15CE"/>
    <w:rsid w:val="003E6C33"/>
    <w:rsid w:val="003E7058"/>
    <w:rsid w:val="003F04F0"/>
    <w:rsid w:val="003F2EC0"/>
    <w:rsid w:val="003F4538"/>
    <w:rsid w:val="003F4F5B"/>
    <w:rsid w:val="0040248E"/>
    <w:rsid w:val="004033C7"/>
    <w:rsid w:val="00404143"/>
    <w:rsid w:val="004077AC"/>
    <w:rsid w:val="0041054A"/>
    <w:rsid w:val="004121AB"/>
    <w:rsid w:val="00413BD8"/>
    <w:rsid w:val="004243B9"/>
    <w:rsid w:val="0042717D"/>
    <w:rsid w:val="00427ED4"/>
    <w:rsid w:val="0043150D"/>
    <w:rsid w:val="00431563"/>
    <w:rsid w:val="0043209D"/>
    <w:rsid w:val="00432B33"/>
    <w:rsid w:val="00436290"/>
    <w:rsid w:val="0044080F"/>
    <w:rsid w:val="004411FF"/>
    <w:rsid w:val="00442548"/>
    <w:rsid w:val="00442A32"/>
    <w:rsid w:val="004432F5"/>
    <w:rsid w:val="004451A4"/>
    <w:rsid w:val="00446DCA"/>
    <w:rsid w:val="00453CC7"/>
    <w:rsid w:val="00455E5A"/>
    <w:rsid w:val="00455F45"/>
    <w:rsid w:val="0046280C"/>
    <w:rsid w:val="00465F40"/>
    <w:rsid w:val="00466764"/>
    <w:rsid w:val="00471CFD"/>
    <w:rsid w:val="00471F65"/>
    <w:rsid w:val="00473309"/>
    <w:rsid w:val="00475B29"/>
    <w:rsid w:val="00476A46"/>
    <w:rsid w:val="00483441"/>
    <w:rsid w:val="00487E78"/>
    <w:rsid w:val="00494C5D"/>
    <w:rsid w:val="004953C5"/>
    <w:rsid w:val="004A4180"/>
    <w:rsid w:val="004A6ADE"/>
    <w:rsid w:val="004B13B3"/>
    <w:rsid w:val="004B22BC"/>
    <w:rsid w:val="004B250F"/>
    <w:rsid w:val="004B3674"/>
    <w:rsid w:val="004B432A"/>
    <w:rsid w:val="004C0989"/>
    <w:rsid w:val="004C0CAB"/>
    <w:rsid w:val="004C25FD"/>
    <w:rsid w:val="004C2717"/>
    <w:rsid w:val="004C42BD"/>
    <w:rsid w:val="004C5AB1"/>
    <w:rsid w:val="004D3309"/>
    <w:rsid w:val="004D5000"/>
    <w:rsid w:val="004D5332"/>
    <w:rsid w:val="004E26C2"/>
    <w:rsid w:val="004E29EE"/>
    <w:rsid w:val="004E3D64"/>
    <w:rsid w:val="004E5EA8"/>
    <w:rsid w:val="004E6D68"/>
    <w:rsid w:val="004F08B4"/>
    <w:rsid w:val="004F3EA2"/>
    <w:rsid w:val="004F4FEE"/>
    <w:rsid w:val="004F5366"/>
    <w:rsid w:val="004F653E"/>
    <w:rsid w:val="004F6856"/>
    <w:rsid w:val="00501030"/>
    <w:rsid w:val="00502357"/>
    <w:rsid w:val="00505164"/>
    <w:rsid w:val="0050745B"/>
    <w:rsid w:val="00510F95"/>
    <w:rsid w:val="0051180F"/>
    <w:rsid w:val="0051243C"/>
    <w:rsid w:val="00512892"/>
    <w:rsid w:val="00516A02"/>
    <w:rsid w:val="00516A04"/>
    <w:rsid w:val="00517A88"/>
    <w:rsid w:val="005218EB"/>
    <w:rsid w:val="00527A50"/>
    <w:rsid w:val="0053048F"/>
    <w:rsid w:val="0053728A"/>
    <w:rsid w:val="00544E3E"/>
    <w:rsid w:val="0055144B"/>
    <w:rsid w:val="0055319A"/>
    <w:rsid w:val="005565F6"/>
    <w:rsid w:val="00563767"/>
    <w:rsid w:val="00565475"/>
    <w:rsid w:val="005654FF"/>
    <w:rsid w:val="00566884"/>
    <w:rsid w:val="00571141"/>
    <w:rsid w:val="00571E7E"/>
    <w:rsid w:val="00572F29"/>
    <w:rsid w:val="0057430B"/>
    <w:rsid w:val="00576A1F"/>
    <w:rsid w:val="00577C47"/>
    <w:rsid w:val="005832BD"/>
    <w:rsid w:val="00583ABB"/>
    <w:rsid w:val="0058511A"/>
    <w:rsid w:val="00585C2C"/>
    <w:rsid w:val="00590EB7"/>
    <w:rsid w:val="005A3588"/>
    <w:rsid w:val="005A67C4"/>
    <w:rsid w:val="005A706B"/>
    <w:rsid w:val="005B0336"/>
    <w:rsid w:val="005B1477"/>
    <w:rsid w:val="005B56AB"/>
    <w:rsid w:val="005B5E33"/>
    <w:rsid w:val="005B5F45"/>
    <w:rsid w:val="005B67DE"/>
    <w:rsid w:val="005B712E"/>
    <w:rsid w:val="005C0EDC"/>
    <w:rsid w:val="005C2FD3"/>
    <w:rsid w:val="005C6A46"/>
    <w:rsid w:val="005C7F23"/>
    <w:rsid w:val="005D55A4"/>
    <w:rsid w:val="005D75D2"/>
    <w:rsid w:val="005E0E9A"/>
    <w:rsid w:val="005E0FA3"/>
    <w:rsid w:val="005E5E5A"/>
    <w:rsid w:val="005F0AF5"/>
    <w:rsid w:val="005F0BDD"/>
    <w:rsid w:val="005F2A4A"/>
    <w:rsid w:val="005F69A2"/>
    <w:rsid w:val="00601137"/>
    <w:rsid w:val="00601944"/>
    <w:rsid w:val="00604E89"/>
    <w:rsid w:val="006109FE"/>
    <w:rsid w:val="00610AF0"/>
    <w:rsid w:val="00610E48"/>
    <w:rsid w:val="00611332"/>
    <w:rsid w:val="006117FF"/>
    <w:rsid w:val="00614423"/>
    <w:rsid w:val="00616DEE"/>
    <w:rsid w:val="0062048A"/>
    <w:rsid w:val="00620736"/>
    <w:rsid w:val="00621BDC"/>
    <w:rsid w:val="006233B6"/>
    <w:rsid w:val="00624F5E"/>
    <w:rsid w:val="00630E0E"/>
    <w:rsid w:val="00632F64"/>
    <w:rsid w:val="00634E27"/>
    <w:rsid w:val="006359A0"/>
    <w:rsid w:val="006423E3"/>
    <w:rsid w:val="00642DA0"/>
    <w:rsid w:val="006432EC"/>
    <w:rsid w:val="00644D0D"/>
    <w:rsid w:val="00647164"/>
    <w:rsid w:val="00651795"/>
    <w:rsid w:val="0065539C"/>
    <w:rsid w:val="00670059"/>
    <w:rsid w:val="00670788"/>
    <w:rsid w:val="00671B4E"/>
    <w:rsid w:val="0067401E"/>
    <w:rsid w:val="00674207"/>
    <w:rsid w:val="006742F7"/>
    <w:rsid w:val="00680759"/>
    <w:rsid w:val="0068102A"/>
    <w:rsid w:val="00682EFD"/>
    <w:rsid w:val="00684E32"/>
    <w:rsid w:val="0068537C"/>
    <w:rsid w:val="006A1601"/>
    <w:rsid w:val="006A7F3E"/>
    <w:rsid w:val="006B31C6"/>
    <w:rsid w:val="006B4F58"/>
    <w:rsid w:val="006B5FCF"/>
    <w:rsid w:val="006B6538"/>
    <w:rsid w:val="006C05DF"/>
    <w:rsid w:val="006C1B22"/>
    <w:rsid w:val="006C388F"/>
    <w:rsid w:val="006C463B"/>
    <w:rsid w:val="006C7DA9"/>
    <w:rsid w:val="006D2EEB"/>
    <w:rsid w:val="006D3826"/>
    <w:rsid w:val="006D3AB1"/>
    <w:rsid w:val="006E0248"/>
    <w:rsid w:val="006E068C"/>
    <w:rsid w:val="006E3558"/>
    <w:rsid w:val="006E4158"/>
    <w:rsid w:val="006E5C5D"/>
    <w:rsid w:val="006E7FF0"/>
    <w:rsid w:val="006F2CFC"/>
    <w:rsid w:val="006F41CB"/>
    <w:rsid w:val="006F6DEA"/>
    <w:rsid w:val="006F7363"/>
    <w:rsid w:val="007023BC"/>
    <w:rsid w:val="00704053"/>
    <w:rsid w:val="00704535"/>
    <w:rsid w:val="00710202"/>
    <w:rsid w:val="00711C21"/>
    <w:rsid w:val="00725607"/>
    <w:rsid w:val="00725B75"/>
    <w:rsid w:val="00725F9C"/>
    <w:rsid w:val="00727FD4"/>
    <w:rsid w:val="00731635"/>
    <w:rsid w:val="00732A01"/>
    <w:rsid w:val="0073698C"/>
    <w:rsid w:val="00741B58"/>
    <w:rsid w:val="007477CF"/>
    <w:rsid w:val="00751F14"/>
    <w:rsid w:val="00753C59"/>
    <w:rsid w:val="0076096A"/>
    <w:rsid w:val="00762297"/>
    <w:rsid w:val="00762E9D"/>
    <w:rsid w:val="00764BF0"/>
    <w:rsid w:val="00764EAB"/>
    <w:rsid w:val="00764F92"/>
    <w:rsid w:val="00770EA8"/>
    <w:rsid w:val="007732EB"/>
    <w:rsid w:val="007748D3"/>
    <w:rsid w:val="0077547C"/>
    <w:rsid w:val="0077766C"/>
    <w:rsid w:val="00781914"/>
    <w:rsid w:val="00781C12"/>
    <w:rsid w:val="00782238"/>
    <w:rsid w:val="00783CB7"/>
    <w:rsid w:val="00787D9A"/>
    <w:rsid w:val="00790913"/>
    <w:rsid w:val="00790BB5"/>
    <w:rsid w:val="00791F6A"/>
    <w:rsid w:val="00791FBF"/>
    <w:rsid w:val="00793250"/>
    <w:rsid w:val="007938DE"/>
    <w:rsid w:val="007944B9"/>
    <w:rsid w:val="007A3B09"/>
    <w:rsid w:val="007A5BDD"/>
    <w:rsid w:val="007B2CC1"/>
    <w:rsid w:val="007B367B"/>
    <w:rsid w:val="007B4FDE"/>
    <w:rsid w:val="007B5833"/>
    <w:rsid w:val="007B591A"/>
    <w:rsid w:val="007C23DB"/>
    <w:rsid w:val="007C522B"/>
    <w:rsid w:val="007C6C6E"/>
    <w:rsid w:val="007D4944"/>
    <w:rsid w:val="007D64AA"/>
    <w:rsid w:val="007E3529"/>
    <w:rsid w:val="007E4236"/>
    <w:rsid w:val="007E50C8"/>
    <w:rsid w:val="007F08C8"/>
    <w:rsid w:val="007F0A7B"/>
    <w:rsid w:val="007F3E08"/>
    <w:rsid w:val="007F7FB4"/>
    <w:rsid w:val="008006FE"/>
    <w:rsid w:val="00800F5C"/>
    <w:rsid w:val="008030B2"/>
    <w:rsid w:val="00803978"/>
    <w:rsid w:val="00805D1C"/>
    <w:rsid w:val="0080661B"/>
    <w:rsid w:val="008072FD"/>
    <w:rsid w:val="00807E4A"/>
    <w:rsid w:val="00813B0C"/>
    <w:rsid w:val="00815769"/>
    <w:rsid w:val="008208E0"/>
    <w:rsid w:val="008222D8"/>
    <w:rsid w:val="008263BA"/>
    <w:rsid w:val="00826725"/>
    <w:rsid w:val="00826E1E"/>
    <w:rsid w:val="00835A9B"/>
    <w:rsid w:val="0084319A"/>
    <w:rsid w:val="008446FD"/>
    <w:rsid w:val="00844DE8"/>
    <w:rsid w:val="008461F3"/>
    <w:rsid w:val="00851696"/>
    <w:rsid w:val="00851C52"/>
    <w:rsid w:val="00855844"/>
    <w:rsid w:val="00855DBC"/>
    <w:rsid w:val="00856954"/>
    <w:rsid w:val="0085727A"/>
    <w:rsid w:val="00857EBD"/>
    <w:rsid w:val="008607FC"/>
    <w:rsid w:val="0086586C"/>
    <w:rsid w:val="00866DED"/>
    <w:rsid w:val="008679ED"/>
    <w:rsid w:val="00867FA4"/>
    <w:rsid w:val="00871B9E"/>
    <w:rsid w:val="00873116"/>
    <w:rsid w:val="00874080"/>
    <w:rsid w:val="00876A96"/>
    <w:rsid w:val="00887742"/>
    <w:rsid w:val="008901C5"/>
    <w:rsid w:val="00893079"/>
    <w:rsid w:val="00896AD0"/>
    <w:rsid w:val="008A124E"/>
    <w:rsid w:val="008A4690"/>
    <w:rsid w:val="008A7EF0"/>
    <w:rsid w:val="008B0A17"/>
    <w:rsid w:val="008B37A5"/>
    <w:rsid w:val="008B5CB2"/>
    <w:rsid w:val="008C38E3"/>
    <w:rsid w:val="008C49DE"/>
    <w:rsid w:val="008C629F"/>
    <w:rsid w:val="008D09CE"/>
    <w:rsid w:val="008D325F"/>
    <w:rsid w:val="008D61E0"/>
    <w:rsid w:val="008D78BE"/>
    <w:rsid w:val="008E027D"/>
    <w:rsid w:val="008E18AE"/>
    <w:rsid w:val="008E42D1"/>
    <w:rsid w:val="008E4604"/>
    <w:rsid w:val="008E6574"/>
    <w:rsid w:val="008E7467"/>
    <w:rsid w:val="008F3B80"/>
    <w:rsid w:val="008F6724"/>
    <w:rsid w:val="008F72A9"/>
    <w:rsid w:val="00900F72"/>
    <w:rsid w:val="009021EB"/>
    <w:rsid w:val="00902BDD"/>
    <w:rsid w:val="00906BDA"/>
    <w:rsid w:val="00913D47"/>
    <w:rsid w:val="0091508D"/>
    <w:rsid w:val="00916639"/>
    <w:rsid w:val="00916CC4"/>
    <w:rsid w:val="00921560"/>
    <w:rsid w:val="009236B0"/>
    <w:rsid w:val="00926F55"/>
    <w:rsid w:val="0092735C"/>
    <w:rsid w:val="00927D18"/>
    <w:rsid w:val="009302DA"/>
    <w:rsid w:val="00931ADC"/>
    <w:rsid w:val="009433DB"/>
    <w:rsid w:val="00945099"/>
    <w:rsid w:val="00946438"/>
    <w:rsid w:val="0094654F"/>
    <w:rsid w:val="009503D8"/>
    <w:rsid w:val="0095103B"/>
    <w:rsid w:val="00952D98"/>
    <w:rsid w:val="009532B5"/>
    <w:rsid w:val="009543A3"/>
    <w:rsid w:val="00955437"/>
    <w:rsid w:val="0095583B"/>
    <w:rsid w:val="00955C8F"/>
    <w:rsid w:val="00955E8A"/>
    <w:rsid w:val="00961E71"/>
    <w:rsid w:val="009621CC"/>
    <w:rsid w:val="00967F21"/>
    <w:rsid w:val="00973DCF"/>
    <w:rsid w:val="00977577"/>
    <w:rsid w:val="00977E76"/>
    <w:rsid w:val="00982A5A"/>
    <w:rsid w:val="00985529"/>
    <w:rsid w:val="009868C4"/>
    <w:rsid w:val="009919CF"/>
    <w:rsid w:val="009948CE"/>
    <w:rsid w:val="009951A9"/>
    <w:rsid w:val="009A0B0A"/>
    <w:rsid w:val="009B1FAD"/>
    <w:rsid w:val="009B2F79"/>
    <w:rsid w:val="009B5174"/>
    <w:rsid w:val="009B70C1"/>
    <w:rsid w:val="009C22E5"/>
    <w:rsid w:val="009C263E"/>
    <w:rsid w:val="009C45A4"/>
    <w:rsid w:val="009C4779"/>
    <w:rsid w:val="009C4F93"/>
    <w:rsid w:val="009C597F"/>
    <w:rsid w:val="009C6125"/>
    <w:rsid w:val="009D0081"/>
    <w:rsid w:val="009D0DFF"/>
    <w:rsid w:val="009D1D29"/>
    <w:rsid w:val="009D32BD"/>
    <w:rsid w:val="009D45A5"/>
    <w:rsid w:val="009D5E83"/>
    <w:rsid w:val="009D65C1"/>
    <w:rsid w:val="009D741F"/>
    <w:rsid w:val="009E2692"/>
    <w:rsid w:val="009E2DDA"/>
    <w:rsid w:val="009E59C4"/>
    <w:rsid w:val="009F2B13"/>
    <w:rsid w:val="009F3BE6"/>
    <w:rsid w:val="009F3CDA"/>
    <w:rsid w:val="009F4B8C"/>
    <w:rsid w:val="00A063F9"/>
    <w:rsid w:val="00A11111"/>
    <w:rsid w:val="00A12665"/>
    <w:rsid w:val="00A14DE5"/>
    <w:rsid w:val="00A162D3"/>
    <w:rsid w:val="00A1702B"/>
    <w:rsid w:val="00A253D4"/>
    <w:rsid w:val="00A26E71"/>
    <w:rsid w:val="00A30C14"/>
    <w:rsid w:val="00A33076"/>
    <w:rsid w:val="00A346AF"/>
    <w:rsid w:val="00A37134"/>
    <w:rsid w:val="00A56B16"/>
    <w:rsid w:val="00A62F4E"/>
    <w:rsid w:val="00A67D88"/>
    <w:rsid w:val="00A724B2"/>
    <w:rsid w:val="00A73750"/>
    <w:rsid w:val="00A73BA1"/>
    <w:rsid w:val="00A741C4"/>
    <w:rsid w:val="00A7574B"/>
    <w:rsid w:val="00A77342"/>
    <w:rsid w:val="00A811B0"/>
    <w:rsid w:val="00A81ECD"/>
    <w:rsid w:val="00A860CB"/>
    <w:rsid w:val="00A918B5"/>
    <w:rsid w:val="00A92FB6"/>
    <w:rsid w:val="00AA11BC"/>
    <w:rsid w:val="00AA2E5D"/>
    <w:rsid w:val="00AA509C"/>
    <w:rsid w:val="00AB183B"/>
    <w:rsid w:val="00AB437E"/>
    <w:rsid w:val="00AC2003"/>
    <w:rsid w:val="00AD02FD"/>
    <w:rsid w:val="00AD1890"/>
    <w:rsid w:val="00AD4E59"/>
    <w:rsid w:val="00AD5055"/>
    <w:rsid w:val="00AD7139"/>
    <w:rsid w:val="00AE2A5B"/>
    <w:rsid w:val="00AE369B"/>
    <w:rsid w:val="00AE4EC1"/>
    <w:rsid w:val="00AE7AA2"/>
    <w:rsid w:val="00AF0DEB"/>
    <w:rsid w:val="00AF3D58"/>
    <w:rsid w:val="00AF55A1"/>
    <w:rsid w:val="00B0176A"/>
    <w:rsid w:val="00B01921"/>
    <w:rsid w:val="00B02D75"/>
    <w:rsid w:val="00B05EF2"/>
    <w:rsid w:val="00B06141"/>
    <w:rsid w:val="00B10180"/>
    <w:rsid w:val="00B1046C"/>
    <w:rsid w:val="00B11DEE"/>
    <w:rsid w:val="00B1231A"/>
    <w:rsid w:val="00B135DE"/>
    <w:rsid w:val="00B13E70"/>
    <w:rsid w:val="00B145BF"/>
    <w:rsid w:val="00B15A4A"/>
    <w:rsid w:val="00B174BF"/>
    <w:rsid w:val="00B17EEA"/>
    <w:rsid w:val="00B23932"/>
    <w:rsid w:val="00B26638"/>
    <w:rsid w:val="00B36AF2"/>
    <w:rsid w:val="00B37E0D"/>
    <w:rsid w:val="00B4008F"/>
    <w:rsid w:val="00B40498"/>
    <w:rsid w:val="00B41E1B"/>
    <w:rsid w:val="00B427DA"/>
    <w:rsid w:val="00B431A3"/>
    <w:rsid w:val="00B43C84"/>
    <w:rsid w:val="00B46B0C"/>
    <w:rsid w:val="00B47A7D"/>
    <w:rsid w:val="00B506E9"/>
    <w:rsid w:val="00B55395"/>
    <w:rsid w:val="00B577AA"/>
    <w:rsid w:val="00B64A4B"/>
    <w:rsid w:val="00B65495"/>
    <w:rsid w:val="00B70C8A"/>
    <w:rsid w:val="00B7399B"/>
    <w:rsid w:val="00B7620B"/>
    <w:rsid w:val="00B84762"/>
    <w:rsid w:val="00B9216F"/>
    <w:rsid w:val="00B96717"/>
    <w:rsid w:val="00B970BB"/>
    <w:rsid w:val="00BA245E"/>
    <w:rsid w:val="00BB5604"/>
    <w:rsid w:val="00BB5D7B"/>
    <w:rsid w:val="00BB608D"/>
    <w:rsid w:val="00BC2632"/>
    <w:rsid w:val="00BC2E22"/>
    <w:rsid w:val="00BC7F39"/>
    <w:rsid w:val="00BE3BDB"/>
    <w:rsid w:val="00BE4D8B"/>
    <w:rsid w:val="00BF1AA4"/>
    <w:rsid w:val="00BF67BA"/>
    <w:rsid w:val="00BF77C4"/>
    <w:rsid w:val="00C0097F"/>
    <w:rsid w:val="00C0637B"/>
    <w:rsid w:val="00C13724"/>
    <w:rsid w:val="00C32F02"/>
    <w:rsid w:val="00C33408"/>
    <w:rsid w:val="00C343DE"/>
    <w:rsid w:val="00C43403"/>
    <w:rsid w:val="00C4352A"/>
    <w:rsid w:val="00C4432B"/>
    <w:rsid w:val="00C45EB6"/>
    <w:rsid w:val="00C463F3"/>
    <w:rsid w:val="00C53348"/>
    <w:rsid w:val="00C62640"/>
    <w:rsid w:val="00C6719C"/>
    <w:rsid w:val="00C673EA"/>
    <w:rsid w:val="00C67B9E"/>
    <w:rsid w:val="00C71472"/>
    <w:rsid w:val="00C715D7"/>
    <w:rsid w:val="00C73DC3"/>
    <w:rsid w:val="00C74EA1"/>
    <w:rsid w:val="00C753C7"/>
    <w:rsid w:val="00C75A29"/>
    <w:rsid w:val="00C75F81"/>
    <w:rsid w:val="00C773E6"/>
    <w:rsid w:val="00C81814"/>
    <w:rsid w:val="00C827A1"/>
    <w:rsid w:val="00C83DA5"/>
    <w:rsid w:val="00C8545B"/>
    <w:rsid w:val="00C86E18"/>
    <w:rsid w:val="00C94B82"/>
    <w:rsid w:val="00C97899"/>
    <w:rsid w:val="00CA0503"/>
    <w:rsid w:val="00CA4768"/>
    <w:rsid w:val="00CA5602"/>
    <w:rsid w:val="00CB052D"/>
    <w:rsid w:val="00CB07C1"/>
    <w:rsid w:val="00CB0B97"/>
    <w:rsid w:val="00CB12F1"/>
    <w:rsid w:val="00CB1CFD"/>
    <w:rsid w:val="00CB27C3"/>
    <w:rsid w:val="00CB518B"/>
    <w:rsid w:val="00CB52AB"/>
    <w:rsid w:val="00CB61ED"/>
    <w:rsid w:val="00CC07CE"/>
    <w:rsid w:val="00CC1B31"/>
    <w:rsid w:val="00CC3AA3"/>
    <w:rsid w:val="00CC4254"/>
    <w:rsid w:val="00CC43ED"/>
    <w:rsid w:val="00CC5822"/>
    <w:rsid w:val="00CD4ECA"/>
    <w:rsid w:val="00CD521C"/>
    <w:rsid w:val="00CE02D7"/>
    <w:rsid w:val="00CE04BF"/>
    <w:rsid w:val="00CE05BE"/>
    <w:rsid w:val="00CE313F"/>
    <w:rsid w:val="00CE423E"/>
    <w:rsid w:val="00CE6568"/>
    <w:rsid w:val="00CE668E"/>
    <w:rsid w:val="00CF0942"/>
    <w:rsid w:val="00CF0F39"/>
    <w:rsid w:val="00CF27FD"/>
    <w:rsid w:val="00CF4F81"/>
    <w:rsid w:val="00CF650A"/>
    <w:rsid w:val="00D01BAD"/>
    <w:rsid w:val="00D0513B"/>
    <w:rsid w:val="00D100F2"/>
    <w:rsid w:val="00D14A91"/>
    <w:rsid w:val="00D14F79"/>
    <w:rsid w:val="00D15AE5"/>
    <w:rsid w:val="00D17597"/>
    <w:rsid w:val="00D17ABB"/>
    <w:rsid w:val="00D23A5A"/>
    <w:rsid w:val="00D24772"/>
    <w:rsid w:val="00D34330"/>
    <w:rsid w:val="00D35ED3"/>
    <w:rsid w:val="00D36A7F"/>
    <w:rsid w:val="00D4654E"/>
    <w:rsid w:val="00D53A6D"/>
    <w:rsid w:val="00D55A98"/>
    <w:rsid w:val="00D60197"/>
    <w:rsid w:val="00D64B8F"/>
    <w:rsid w:val="00D667CE"/>
    <w:rsid w:val="00D672DB"/>
    <w:rsid w:val="00D70D1C"/>
    <w:rsid w:val="00D71AA6"/>
    <w:rsid w:val="00D725B8"/>
    <w:rsid w:val="00D73851"/>
    <w:rsid w:val="00D8228D"/>
    <w:rsid w:val="00D856E4"/>
    <w:rsid w:val="00D85B9F"/>
    <w:rsid w:val="00D86709"/>
    <w:rsid w:val="00D90987"/>
    <w:rsid w:val="00D944F6"/>
    <w:rsid w:val="00D96EE1"/>
    <w:rsid w:val="00DA0CA2"/>
    <w:rsid w:val="00DA122E"/>
    <w:rsid w:val="00DA39A7"/>
    <w:rsid w:val="00DA5A66"/>
    <w:rsid w:val="00DB0FE6"/>
    <w:rsid w:val="00DC1B38"/>
    <w:rsid w:val="00DC3A0D"/>
    <w:rsid w:val="00DD3528"/>
    <w:rsid w:val="00DD4A46"/>
    <w:rsid w:val="00DE3172"/>
    <w:rsid w:val="00DE3461"/>
    <w:rsid w:val="00DE4C66"/>
    <w:rsid w:val="00DF2405"/>
    <w:rsid w:val="00DF6247"/>
    <w:rsid w:val="00E07810"/>
    <w:rsid w:val="00E10A22"/>
    <w:rsid w:val="00E1436C"/>
    <w:rsid w:val="00E21C67"/>
    <w:rsid w:val="00E2336D"/>
    <w:rsid w:val="00E23422"/>
    <w:rsid w:val="00E24657"/>
    <w:rsid w:val="00E30CF8"/>
    <w:rsid w:val="00E347BC"/>
    <w:rsid w:val="00E35AB2"/>
    <w:rsid w:val="00E40BCA"/>
    <w:rsid w:val="00E44E4C"/>
    <w:rsid w:val="00E52793"/>
    <w:rsid w:val="00E53213"/>
    <w:rsid w:val="00E5545E"/>
    <w:rsid w:val="00E55609"/>
    <w:rsid w:val="00E5582B"/>
    <w:rsid w:val="00E57B0D"/>
    <w:rsid w:val="00E6104E"/>
    <w:rsid w:val="00E622D7"/>
    <w:rsid w:val="00E6442A"/>
    <w:rsid w:val="00E657F7"/>
    <w:rsid w:val="00E716F0"/>
    <w:rsid w:val="00E7399C"/>
    <w:rsid w:val="00E7496B"/>
    <w:rsid w:val="00E74C6F"/>
    <w:rsid w:val="00E77C63"/>
    <w:rsid w:val="00E81E6C"/>
    <w:rsid w:val="00E83A0C"/>
    <w:rsid w:val="00E929FB"/>
    <w:rsid w:val="00E92AD2"/>
    <w:rsid w:val="00E97912"/>
    <w:rsid w:val="00EA2E0F"/>
    <w:rsid w:val="00EA3493"/>
    <w:rsid w:val="00EA38BF"/>
    <w:rsid w:val="00EA5F01"/>
    <w:rsid w:val="00EA634F"/>
    <w:rsid w:val="00EB2277"/>
    <w:rsid w:val="00EB2DF9"/>
    <w:rsid w:val="00EB35AB"/>
    <w:rsid w:val="00EC153B"/>
    <w:rsid w:val="00EC1D7F"/>
    <w:rsid w:val="00EC218E"/>
    <w:rsid w:val="00EC407B"/>
    <w:rsid w:val="00EC44C1"/>
    <w:rsid w:val="00EC5CA4"/>
    <w:rsid w:val="00EC74D8"/>
    <w:rsid w:val="00ED2436"/>
    <w:rsid w:val="00ED251B"/>
    <w:rsid w:val="00ED3A2E"/>
    <w:rsid w:val="00ED4172"/>
    <w:rsid w:val="00ED57A5"/>
    <w:rsid w:val="00EE137A"/>
    <w:rsid w:val="00EE2498"/>
    <w:rsid w:val="00EE60F4"/>
    <w:rsid w:val="00EF0C34"/>
    <w:rsid w:val="00EF3F07"/>
    <w:rsid w:val="00EF6434"/>
    <w:rsid w:val="00EF7037"/>
    <w:rsid w:val="00EF7B78"/>
    <w:rsid w:val="00F00BA0"/>
    <w:rsid w:val="00F01773"/>
    <w:rsid w:val="00F0591D"/>
    <w:rsid w:val="00F10854"/>
    <w:rsid w:val="00F13AAE"/>
    <w:rsid w:val="00F24B9E"/>
    <w:rsid w:val="00F24E8F"/>
    <w:rsid w:val="00F253A0"/>
    <w:rsid w:val="00F2753D"/>
    <w:rsid w:val="00F30D7B"/>
    <w:rsid w:val="00F4684B"/>
    <w:rsid w:val="00F474AF"/>
    <w:rsid w:val="00F5689A"/>
    <w:rsid w:val="00F5778C"/>
    <w:rsid w:val="00F61548"/>
    <w:rsid w:val="00F67370"/>
    <w:rsid w:val="00F70DD2"/>
    <w:rsid w:val="00F7352E"/>
    <w:rsid w:val="00F74A0D"/>
    <w:rsid w:val="00F74DE8"/>
    <w:rsid w:val="00F75CBC"/>
    <w:rsid w:val="00F80F96"/>
    <w:rsid w:val="00F815DF"/>
    <w:rsid w:val="00F83204"/>
    <w:rsid w:val="00FA1030"/>
    <w:rsid w:val="00FA246A"/>
    <w:rsid w:val="00FA3E6A"/>
    <w:rsid w:val="00FA6F40"/>
    <w:rsid w:val="00FB056A"/>
    <w:rsid w:val="00FB4FE6"/>
    <w:rsid w:val="00FC1013"/>
    <w:rsid w:val="00FC4953"/>
    <w:rsid w:val="00FC715D"/>
    <w:rsid w:val="00FD06C1"/>
    <w:rsid w:val="00FD12D3"/>
    <w:rsid w:val="00FD6170"/>
    <w:rsid w:val="00FE0E57"/>
    <w:rsid w:val="00FE12D2"/>
    <w:rsid w:val="00FE4F43"/>
    <w:rsid w:val="00FE6982"/>
    <w:rsid w:val="00FE756B"/>
    <w:rsid w:val="00FF072C"/>
    <w:rsid w:val="00FF47B4"/>
    <w:rsid w:val="00FF7B95"/>
    <w:rsid w:val="06F838CC"/>
    <w:rsid w:val="0B847F39"/>
    <w:rsid w:val="129B465A"/>
    <w:rsid w:val="1324363D"/>
    <w:rsid w:val="14975F38"/>
    <w:rsid w:val="18FB50E7"/>
    <w:rsid w:val="2A507088"/>
    <w:rsid w:val="353E2EF4"/>
    <w:rsid w:val="35A163F7"/>
    <w:rsid w:val="38CE58D9"/>
    <w:rsid w:val="391842A9"/>
    <w:rsid w:val="3B6F18E9"/>
    <w:rsid w:val="3C14714D"/>
    <w:rsid w:val="3E482E37"/>
    <w:rsid w:val="4579087C"/>
    <w:rsid w:val="4F7E7FC6"/>
    <w:rsid w:val="51190DA3"/>
    <w:rsid w:val="53074C74"/>
    <w:rsid w:val="5327192F"/>
    <w:rsid w:val="566961C7"/>
    <w:rsid w:val="59B7413C"/>
    <w:rsid w:val="669D4826"/>
    <w:rsid w:val="6B65654D"/>
    <w:rsid w:val="7B6C139F"/>
    <w:rsid w:val="7B6D66EF"/>
    <w:rsid w:val="7BE134DF"/>
    <w:rsid w:val="7CF10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196FBB-3828-445D-B3E6-E85B4815F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qFormat/>
    <w:pPr>
      <w:snapToGrid w:val="0"/>
      <w:jc w:val="left"/>
    </w:pPr>
  </w:style>
  <w:style w:type="paragraph" w:styleId="a5">
    <w:name w:val="Balloon Text"/>
    <w:basedOn w:val="a"/>
    <w:link w:val="a6"/>
    <w:uiPriority w:val="99"/>
    <w:unhideWhenUsed/>
    <w:qFormat/>
    <w:rPr>
      <w:sz w:val="18"/>
      <w:szCs w:val="18"/>
    </w:rPr>
  </w:style>
  <w:style w:type="paragraph" w:styleId="a7">
    <w:name w:val="footer"/>
    <w:basedOn w:val="a"/>
    <w:link w:val="1"/>
    <w:uiPriority w:val="99"/>
    <w:unhideWhenUsed/>
    <w:qFormat/>
    <w:pPr>
      <w:tabs>
        <w:tab w:val="center" w:pos="4153"/>
        <w:tab w:val="right" w:pos="8306"/>
      </w:tabs>
      <w:snapToGrid w:val="0"/>
      <w:jc w:val="left"/>
    </w:pPr>
    <w:rPr>
      <w:kern w:val="0"/>
      <w:sz w:val="18"/>
      <w:szCs w:val="18"/>
    </w:rPr>
  </w:style>
  <w:style w:type="paragraph" w:styleId="a8">
    <w:name w:val="header"/>
    <w:basedOn w:val="a"/>
    <w:link w:val="10"/>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aa"/>
    <w:uiPriority w:val="99"/>
    <w:unhideWhenUsed/>
    <w:qFormat/>
    <w:pPr>
      <w:snapToGrid w:val="0"/>
      <w:jc w:val="left"/>
    </w:pPr>
    <w:rPr>
      <w:sz w:val="18"/>
      <w:szCs w:val="18"/>
    </w:rPr>
  </w:style>
  <w:style w:type="table" w:styleId="ab">
    <w:name w:val="Table Grid"/>
    <w:basedOn w:val="a1"/>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ndnote reference"/>
    <w:uiPriority w:val="99"/>
    <w:semiHidden/>
    <w:unhideWhenUsed/>
    <w:qFormat/>
    <w:rPr>
      <w:vertAlign w:val="superscript"/>
    </w:rPr>
  </w:style>
  <w:style w:type="character" w:styleId="ad">
    <w:name w:val="footnote reference"/>
    <w:uiPriority w:val="99"/>
    <w:unhideWhenUsed/>
    <w:qFormat/>
    <w:rPr>
      <w:vertAlign w:val="superscript"/>
    </w:rPr>
  </w:style>
  <w:style w:type="character" w:customStyle="1" w:styleId="a6">
    <w:name w:val="批注框文本 字符"/>
    <w:link w:val="a5"/>
    <w:uiPriority w:val="99"/>
    <w:semiHidden/>
    <w:qFormat/>
    <w:rPr>
      <w:kern w:val="2"/>
      <w:sz w:val="18"/>
      <w:szCs w:val="18"/>
    </w:rPr>
  </w:style>
  <w:style w:type="character" w:customStyle="1" w:styleId="1">
    <w:name w:val="页脚 字符1"/>
    <w:link w:val="a7"/>
    <w:qFormat/>
    <w:rPr>
      <w:sz w:val="18"/>
      <w:szCs w:val="18"/>
    </w:rPr>
  </w:style>
  <w:style w:type="character" w:customStyle="1" w:styleId="10">
    <w:name w:val="页眉 字符1"/>
    <w:link w:val="a8"/>
    <w:uiPriority w:val="99"/>
    <w:qFormat/>
    <w:rPr>
      <w:sz w:val="18"/>
      <w:szCs w:val="18"/>
    </w:rPr>
  </w:style>
  <w:style w:type="character" w:customStyle="1" w:styleId="ae">
    <w:name w:val="页脚 字符"/>
    <w:uiPriority w:val="99"/>
    <w:qFormat/>
  </w:style>
  <w:style w:type="table" w:customStyle="1" w:styleId="11">
    <w:name w:val="网格型1"/>
    <w:basedOn w:val="a1"/>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尾注文本 字符"/>
    <w:link w:val="a3"/>
    <w:uiPriority w:val="99"/>
    <w:semiHidden/>
    <w:qFormat/>
    <w:rPr>
      <w:kern w:val="2"/>
      <w:sz w:val="21"/>
      <w:szCs w:val="22"/>
    </w:rPr>
  </w:style>
  <w:style w:type="character" w:customStyle="1" w:styleId="aa">
    <w:name w:val="脚注文本 字符"/>
    <w:link w:val="a9"/>
    <w:uiPriority w:val="99"/>
    <w:semiHidden/>
    <w:qFormat/>
    <w:rPr>
      <w:kern w:val="2"/>
      <w:sz w:val="18"/>
      <w:szCs w:val="18"/>
    </w:rPr>
  </w:style>
  <w:style w:type="character" w:customStyle="1" w:styleId="af">
    <w:name w:val="页眉 字符"/>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D464E8-5512-4C78-9997-13BC91F5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2668</Words>
  <Characters>15211</Characters>
  <Application>Microsoft Office Word</Application>
  <DocSecurity>0</DocSecurity>
  <Lines>126</Lines>
  <Paragraphs>35</Paragraphs>
  <ScaleCrop>false</ScaleCrop>
  <Company>TRCBANK</Company>
  <LinksUpToDate>false</LinksUpToDate>
  <CharactersWithSpaces>17844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天津农商银行</dc:creator>
  <cp:lastModifiedBy>王 学琦</cp:lastModifiedBy>
  <cp:revision>3</cp:revision>
  <cp:lastPrinted>2024-02-28T07:32:00Z</cp:lastPrinted>
  <dcterms:created xsi:type="dcterms:W3CDTF">2024-10-11T09:22:00Z</dcterms:created>
  <dcterms:modified xsi:type="dcterms:W3CDTF">2025-02-21T10:55:00Z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E728000F9B0B4ECDBC140DB2F3AE435C</vt:lpwstr>
  </property>
</Properties>
</file>