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DF" w:rsidRPr="007C57DF" w:rsidRDefault="007C57DF" w:rsidP="007C57DF">
      <w:pPr>
        <w:widowControl/>
        <w:jc w:val="center"/>
        <w:outlineLvl w:val="1"/>
        <w:rPr>
          <w:rFonts w:ascii="Arial" w:eastAsia="宋体" w:hAnsi="Arial" w:cs="Arial"/>
          <w:kern w:val="0"/>
          <w:sz w:val="36"/>
          <w:szCs w:val="36"/>
          <w:lang w:eastAsia="zh-Hans"/>
        </w:rPr>
      </w:pPr>
      <w:bookmarkStart w:id="0" w:name="_GoBack"/>
      <w:r w:rsidRPr="007C57DF">
        <w:rPr>
          <w:rFonts w:ascii="思源黑体" w:eastAsia="思源黑体" w:hAnsi="Arial" w:cs="Arial" w:hint="eastAsia"/>
          <w:b/>
          <w:bCs/>
          <w:kern w:val="0"/>
          <w:szCs w:val="21"/>
          <w:lang w:eastAsia="zh-Hans"/>
        </w:rPr>
        <w:t>天津农商银行信用卡积分规则</w:t>
      </w:r>
    </w:p>
    <w:bookmarkEnd w:id="0"/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Arial" w:eastAsia="宋体" w:hAnsi="Arial" w:cs="Arial"/>
          <w:kern w:val="0"/>
          <w:sz w:val="36"/>
          <w:szCs w:val="36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第一条 吉祥信用卡持卡人持有效的吉祥信用卡消费可获得积分。消费每满人民币 1 元积 1 分，每消费 1 美元积 8 分，每笔消费金额不足 1 元的部分均按四舍五入计入积分。特殊卡种另行规定。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第二条 消费所产生的积分均于银行记账日的次日起生效。我行保留调整积分赚取比例的权利，并在法律许可的范围内拥有最终解释权。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第三条 持卡人不同账户下的信用卡产品积分分别计算。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第四条 吉祥信用卡的积分累积于主卡账户内，附属卡消费同样计算积分，附属卡的积分计入主卡账户内；持卡人持有两张或两张以上同一账户下的吉祥信用卡时，各卡刷卡消费累计的积分亦可合并计算。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第五条 持卡人因某种原因将签账消费的商品或服务退还，或因签账消费争议或其它原因而退还交易款项的（如退货交易），持卡人原先已取得的积分将由我行根据其退还的交易款项金额，按积分比例予以扣除。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第六条 持卡人生日当天的消费按不同规定可获得多倍积分：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（一）吉祥信用卡普卡持卡人在其生日当天进行的交易，按一般积分累积规则的二倍获得积分。普卡附属卡持卡人在其生日当天同样享受二倍积分，获得的积分计入主卡账户。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（二）吉祥信用卡金卡持卡人在其生日当天进行的交易，按一般积分累积规则的三倍获得积分。吉祥信用卡金卡附属卡持卡人在其生日当天同样享受三倍积分，获得的积分计入主卡账户。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第七条 积分永久有效，积分保留于主卡账户下直至销户。卡片到期持卡人续卡后，积分自动延续；信用卡账户关闭或注销后，剩余积分将被清除，且不可再恢复。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第八条 以下费用和交易不计积分：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（一）信用卡取现、人民币网上支付交易（我行信用卡商城除外）、代扣代缴交易。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（二）信用卡年费、循环信用利息、预借现金的手续费及利息、逾期缴款所衍生的费用（如滞纳金、利息等）及《天津农商银行信用卡（个人卡）领用合约》约定的其它各项息费。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（三）低扣率、零扣率以及特殊类型的商户消费不计算积分，其中包括但不仅限于：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1、房地产、汽车销售、汽车零件销售等批发类商户；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2、法律服务、医疗机构、学校类，农业服务、承包服务、装修装潢等商户；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3、公共事业、政府服务、纳税、缴款及代扣代缴类商户；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lastRenderedPageBreak/>
        <w:t>4、非现金金融产品及服务、直销，保险，证券，会计、审计等商户；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5、慈善、彩票、非盈利性商户及按银联标准不计消费积分的其他商户。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（四）天津农商银行规定的其它项目。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第九条 我行有权对认定的套现、伪造非真实交易赚取的积分进行扣减。</w:t>
      </w:r>
    </w:p>
    <w:p w:rsidR="007C57DF" w:rsidRPr="007C57DF" w:rsidRDefault="007C57DF" w:rsidP="007C57DF">
      <w:pPr>
        <w:widowControl/>
        <w:spacing w:beforeAutospacing="1" w:afterAutospacing="1"/>
        <w:outlineLvl w:val="1"/>
        <w:rPr>
          <w:rFonts w:ascii="思源黑体" w:eastAsia="思源黑体" w:hAnsi="Arial" w:cs="Arial" w:hint="eastAsia"/>
          <w:kern w:val="0"/>
          <w:szCs w:val="21"/>
          <w:lang w:eastAsia="zh-Hans"/>
        </w:rPr>
      </w:pPr>
      <w:r w:rsidRPr="007C57DF">
        <w:rPr>
          <w:rFonts w:ascii="思源黑体" w:eastAsia="思源黑体" w:hAnsi="Arial" w:cs="Arial" w:hint="eastAsia"/>
          <w:kern w:val="0"/>
          <w:szCs w:val="21"/>
          <w:lang w:eastAsia="zh-Hans"/>
        </w:rPr>
        <w:t>第十条 我行可根据中国银联对商户扣率的标准规则，随时对积分计分方式进行调整。</w:t>
      </w:r>
    </w:p>
    <w:p w:rsidR="00CA2159" w:rsidRPr="007C57DF" w:rsidRDefault="00CA2159"/>
    <w:sectPr w:rsidR="00CA2159" w:rsidRPr="007C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DF"/>
    <w:rsid w:val="007C57DF"/>
    <w:rsid w:val="00A8244D"/>
    <w:rsid w:val="00C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C57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C57DF"/>
    <w:rPr>
      <w:rFonts w:ascii="宋体" w:eastAsia="宋体" w:hAnsi="宋体" w:cs="宋体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C57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C57DF"/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956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902</Characters>
  <Application>Microsoft Office Word</Application>
  <DocSecurity>0</DocSecurity>
  <Lines>7</Lines>
  <Paragraphs>2</Paragraphs>
  <ScaleCrop>false</ScaleCrop>
  <Company>TRCBANK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2021-01-20T06:25:00Z</dcterms:created>
  <dcterms:modified xsi:type="dcterms:W3CDTF">2021-01-20T06:28:00Z</dcterms:modified>
</cp:coreProperties>
</file>