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auto"/>
        <w:jc w:val="center"/>
        <w:rPr>
          <w:rFonts w:asciiTheme="majorEastAsia" w:hAnsiTheme="majorEastAsia" w:eastAsiaTheme="majorEastAsia"/>
          <w:b/>
          <w:sz w:val="40"/>
          <w:szCs w:val="32"/>
        </w:rPr>
      </w:pPr>
      <w:bookmarkStart w:id="0" w:name="_GoBack"/>
      <w:bookmarkEnd w:id="0"/>
      <w:r>
        <w:rPr>
          <w:rFonts w:hint="eastAsia" w:asciiTheme="majorEastAsia" w:hAnsiTheme="majorEastAsia" w:eastAsiaTheme="majorEastAsia"/>
          <w:b/>
          <w:sz w:val="40"/>
          <w:szCs w:val="32"/>
        </w:rPr>
        <w:t>信用卡账单分期、灵活分期常见问题解答</w:t>
      </w:r>
    </w:p>
    <w:p>
      <w:pPr>
        <w:adjustRightInd w:val="0"/>
        <w:spacing w:line="600" w:lineRule="auto"/>
        <w:ind w:firstLine="645"/>
        <w:rPr>
          <w:rFonts w:ascii="仿宋_GB2312" w:hAnsi="Times New Roman" w:eastAsia="仿宋_GB2312"/>
          <w:b/>
          <w:sz w:val="32"/>
          <w:szCs w:val="32"/>
        </w:rPr>
      </w:pP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1.什么是分期业务？</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分期业务是指符合条件的我行信用卡客户（以下简称“持卡人”）在使用其信用卡消费后向我行分期偿还其消费欠款的业务。</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账单分期是我行为符合条件的持卡人提供的分期还款服务，即持卡人申请将最近一期已出账单的消费金额在扣除不可分期的交易金额后进行分期还款并支付相应分期利息的业务。</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灵活分期，又称交易分期，是我行为符合条件的持卡人提供的分期还款服务，即持卡人将符合我行规定的单笔消费交易在未出账单之前申请进行分期还款并支付相应分期利息的业务。</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2.哪些人可以申请分期？</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分期业务仅限卡片及账户状态正常、信用状况良好的主卡持卡人申请，不适用于附属卡及公务卡及我行</w:t>
      </w:r>
      <w:r>
        <w:rPr>
          <w:rFonts w:ascii="仿宋_GB2312" w:hAnsi="Times New Roman" w:eastAsia="仿宋_GB2312"/>
          <w:sz w:val="32"/>
          <w:szCs w:val="32"/>
        </w:rPr>
        <w:t>制度中明确不能分期的卡种</w:t>
      </w:r>
      <w:r>
        <w:rPr>
          <w:rFonts w:hint="eastAsia" w:ascii="仿宋_GB2312" w:hAnsi="Times New Roman" w:eastAsia="仿宋_GB2312"/>
          <w:sz w:val="32"/>
          <w:szCs w:val="32"/>
        </w:rPr>
        <w:t>。</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3.何时、如何申请分期业务？申请分期在金额方面有限制吗？</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账单分期仅限在当期账单日次日至到期还款日18:00前申请；灵活分期仅限在交易发生日至当期账单日18:00前申请。</w:t>
      </w:r>
    </w:p>
    <w:p>
      <w:pPr>
        <w:adjustRightInd w:val="0"/>
        <w:spacing w:line="600" w:lineRule="auto"/>
        <w:ind w:firstLine="640" w:firstLineChars="200"/>
        <w:rPr>
          <w:rFonts w:ascii="仿宋" w:hAnsi="仿宋" w:eastAsia="仿宋"/>
          <w:sz w:val="32"/>
          <w:szCs w:val="32"/>
        </w:rPr>
      </w:pPr>
      <w:r>
        <w:rPr>
          <w:rFonts w:hint="eastAsia" w:ascii="仿宋" w:hAnsi="仿宋" w:eastAsia="仿宋"/>
          <w:sz w:val="32"/>
          <w:szCs w:val="32"/>
        </w:rPr>
        <w:t>持卡</w:t>
      </w:r>
      <w:r>
        <w:rPr>
          <w:rFonts w:ascii="仿宋" w:hAnsi="仿宋" w:eastAsia="仿宋"/>
          <w:sz w:val="32"/>
          <w:szCs w:val="32"/>
        </w:rPr>
        <w:t>人可通过拨打</w:t>
      </w:r>
      <w:r>
        <w:rPr>
          <w:rFonts w:hint="eastAsia" w:ascii="仿宋" w:hAnsi="仿宋" w:eastAsia="仿宋"/>
          <w:sz w:val="32"/>
          <w:szCs w:val="32"/>
        </w:rPr>
        <w:t>我行</w:t>
      </w:r>
      <w:r>
        <w:rPr>
          <w:rFonts w:ascii="仿宋" w:hAnsi="仿宋" w:eastAsia="仿宋"/>
          <w:sz w:val="32"/>
          <w:szCs w:val="32"/>
        </w:rPr>
        <w:t>客户服务热线（</w:t>
      </w:r>
      <w:r>
        <w:rPr>
          <w:rFonts w:hint="eastAsia" w:ascii="仿宋" w:hAnsi="仿宋" w:eastAsia="仿宋"/>
          <w:sz w:val="32"/>
          <w:szCs w:val="32"/>
        </w:rPr>
        <w:t>022-96155、400-80-96155）</w:t>
      </w:r>
      <w:r>
        <w:rPr>
          <w:rFonts w:ascii="仿宋" w:hAnsi="仿宋" w:eastAsia="仿宋"/>
          <w:sz w:val="32"/>
          <w:szCs w:val="32"/>
        </w:rPr>
        <w:t>、登陆我行手机银行、关注“</w:t>
      </w:r>
      <w:r>
        <w:rPr>
          <w:rFonts w:hint="eastAsia" w:ascii="仿宋" w:hAnsi="仿宋" w:eastAsia="仿宋"/>
          <w:sz w:val="32"/>
          <w:szCs w:val="32"/>
        </w:rPr>
        <w:t>天津</w:t>
      </w:r>
      <w:r>
        <w:rPr>
          <w:rFonts w:ascii="仿宋" w:hAnsi="仿宋" w:eastAsia="仿宋"/>
          <w:sz w:val="32"/>
          <w:szCs w:val="32"/>
        </w:rPr>
        <w:t>农商银行信用</w:t>
      </w:r>
      <w:r>
        <w:rPr>
          <w:rFonts w:hint="eastAsia" w:ascii="仿宋" w:hAnsi="仿宋" w:eastAsia="仿宋"/>
          <w:sz w:val="32"/>
          <w:szCs w:val="32"/>
        </w:rPr>
        <w:t>卡</w:t>
      </w:r>
      <w:r>
        <w:rPr>
          <w:rFonts w:ascii="仿宋" w:hAnsi="仿宋" w:eastAsia="仿宋"/>
          <w:sz w:val="32"/>
          <w:szCs w:val="32"/>
        </w:rPr>
        <w:t>”</w:t>
      </w:r>
      <w:r>
        <w:rPr>
          <w:rFonts w:hint="eastAsia" w:ascii="仿宋" w:hAnsi="仿宋" w:eastAsia="仿宋"/>
          <w:sz w:val="32"/>
          <w:szCs w:val="32"/>
        </w:rPr>
        <w:t>微信</w:t>
      </w:r>
      <w:r>
        <w:rPr>
          <w:rFonts w:ascii="仿宋" w:hAnsi="仿宋" w:eastAsia="仿宋"/>
          <w:sz w:val="32"/>
          <w:szCs w:val="32"/>
        </w:rPr>
        <w:t>公众号等渠道申请分期业务</w:t>
      </w:r>
      <w:r>
        <w:rPr>
          <w:rFonts w:hint="eastAsia" w:ascii="仿宋" w:hAnsi="仿宋" w:eastAsia="仿宋"/>
          <w:sz w:val="32"/>
          <w:szCs w:val="32"/>
        </w:rPr>
        <w:t>。其中</w:t>
      </w:r>
      <w:r>
        <w:rPr>
          <w:rFonts w:ascii="仿宋" w:hAnsi="仿宋" w:eastAsia="仿宋"/>
          <w:sz w:val="32"/>
          <w:szCs w:val="32"/>
        </w:rPr>
        <w:t>，</w:t>
      </w:r>
      <w:r>
        <w:rPr>
          <w:rFonts w:hint="eastAsia" w:ascii="仿宋" w:hAnsi="仿宋" w:eastAsia="仿宋"/>
          <w:sz w:val="32"/>
          <w:szCs w:val="32"/>
        </w:rPr>
        <w:t>36期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w:t>
      </w:r>
      <w:r>
        <w:rPr>
          <w:rFonts w:hint="eastAsia" w:ascii="仿宋" w:hAnsi="仿宋" w:eastAsia="仿宋"/>
          <w:sz w:val="32"/>
          <w:szCs w:val="32"/>
        </w:rPr>
        <w:t>以上</w:t>
      </w:r>
      <w:r>
        <w:rPr>
          <w:rFonts w:ascii="仿宋" w:hAnsi="仿宋" w:eastAsia="仿宋"/>
          <w:sz w:val="32"/>
          <w:szCs w:val="32"/>
        </w:rPr>
        <w:t>期数的账单分期业务仅通过</w:t>
      </w:r>
      <w:r>
        <w:rPr>
          <w:rFonts w:hint="eastAsia" w:ascii="仿宋" w:hAnsi="仿宋" w:eastAsia="仿宋"/>
          <w:sz w:val="32"/>
          <w:szCs w:val="32"/>
        </w:rPr>
        <w:t>关注“天津农商银行信用卡”微信公众号渠道办理</w:t>
      </w:r>
      <w:r>
        <w:rPr>
          <w:rFonts w:ascii="仿宋" w:hAnsi="仿宋" w:eastAsia="仿宋"/>
          <w:sz w:val="32"/>
          <w:szCs w:val="32"/>
        </w:rPr>
        <w:t>。</w:t>
      </w:r>
    </w:p>
    <w:p>
      <w:pPr>
        <w:adjustRightInd w:val="0"/>
        <w:spacing w:line="600" w:lineRule="auto"/>
        <w:ind w:firstLine="640" w:firstLineChars="200"/>
        <w:rPr>
          <w:rFonts w:ascii="仿宋" w:hAnsi="仿宋" w:eastAsia="仿宋"/>
          <w:sz w:val="32"/>
          <w:szCs w:val="32"/>
        </w:rPr>
      </w:pPr>
      <w:r>
        <w:rPr>
          <w:rFonts w:hint="eastAsia" w:ascii="仿宋" w:hAnsi="仿宋" w:eastAsia="仿宋"/>
          <w:sz w:val="32"/>
          <w:szCs w:val="32"/>
        </w:rPr>
        <w:t>申请不同</w:t>
      </w:r>
      <w:r>
        <w:rPr>
          <w:rFonts w:ascii="仿宋" w:hAnsi="仿宋" w:eastAsia="仿宋"/>
          <w:sz w:val="32"/>
          <w:szCs w:val="32"/>
        </w:rPr>
        <w:t>分期业务在金额</w:t>
      </w:r>
      <w:r>
        <w:rPr>
          <w:rFonts w:hint="eastAsia" w:ascii="仿宋" w:hAnsi="仿宋" w:eastAsia="仿宋"/>
          <w:sz w:val="32"/>
          <w:szCs w:val="32"/>
        </w:rPr>
        <w:t>方面</w:t>
      </w:r>
      <w:r>
        <w:rPr>
          <w:rFonts w:ascii="仿宋" w:hAnsi="仿宋" w:eastAsia="仿宋"/>
          <w:sz w:val="32"/>
          <w:szCs w:val="32"/>
        </w:rPr>
        <w:t>的</w:t>
      </w:r>
      <w:r>
        <w:rPr>
          <w:rFonts w:hint="eastAsia" w:ascii="仿宋" w:hAnsi="仿宋" w:eastAsia="仿宋"/>
          <w:sz w:val="32"/>
          <w:szCs w:val="32"/>
        </w:rPr>
        <w:t>限制</w:t>
      </w:r>
      <w:r>
        <w:rPr>
          <w:rFonts w:ascii="仿宋" w:hAnsi="仿宋" w:eastAsia="仿宋"/>
          <w:sz w:val="32"/>
          <w:szCs w:val="32"/>
        </w:rPr>
        <w:t>：</w:t>
      </w:r>
    </w:p>
    <w:p>
      <w:pPr>
        <w:adjustRightInd w:val="0"/>
        <w:spacing w:line="360" w:lineRule="auto"/>
        <w:ind w:firstLine="640" w:firstLineChars="200"/>
        <w:rPr>
          <w:rFonts w:ascii="仿宋" w:hAnsi="仿宋" w:eastAsia="仿宋"/>
          <w:sz w:val="32"/>
          <w:szCs w:val="32"/>
        </w:rPr>
      </w:pPr>
      <w:r>
        <w:rPr>
          <w:rFonts w:hint="eastAsia" w:ascii="仿宋" w:hAnsi="仿宋" w:eastAsia="仿宋"/>
          <w:sz w:val="32"/>
          <w:szCs w:val="32"/>
        </w:rPr>
        <w:t>（1）申请灵活分期业务的最低金额不得低于人民币500元，且每期应还本金不低于人民币100元，最高金额原则上不超过持卡人账户信用额度，灵活分期的分期金额须等于原交易金额。</w:t>
      </w:r>
    </w:p>
    <w:p>
      <w:pPr>
        <w:adjustRightInd w:val="0"/>
        <w:spacing w:line="360" w:lineRule="auto"/>
        <w:ind w:firstLine="640" w:firstLineChars="200"/>
        <w:rPr>
          <w:rFonts w:ascii="仿宋" w:hAnsi="仿宋" w:eastAsia="仿宋"/>
          <w:sz w:val="32"/>
          <w:szCs w:val="32"/>
        </w:rPr>
      </w:pPr>
      <w:r>
        <w:rPr>
          <w:rFonts w:hint="eastAsia" w:ascii="仿宋" w:hAnsi="仿宋" w:eastAsia="仿宋"/>
          <w:sz w:val="32"/>
          <w:szCs w:val="32"/>
        </w:rPr>
        <w:t>（2）申请账单分期</w:t>
      </w:r>
      <w:r>
        <w:rPr>
          <w:rFonts w:ascii="仿宋" w:hAnsi="仿宋" w:eastAsia="仿宋"/>
          <w:sz w:val="32"/>
          <w:szCs w:val="32"/>
        </w:rPr>
        <w:t>业务</w:t>
      </w:r>
      <w:r>
        <w:rPr>
          <w:rFonts w:hint="eastAsia" w:ascii="仿宋" w:hAnsi="仿宋" w:eastAsia="仿宋"/>
          <w:sz w:val="32"/>
          <w:szCs w:val="32"/>
        </w:rPr>
        <w:t>的最低金额和</w:t>
      </w:r>
      <w:r>
        <w:rPr>
          <w:rFonts w:ascii="仿宋" w:hAnsi="仿宋" w:eastAsia="仿宋"/>
          <w:sz w:val="32"/>
          <w:szCs w:val="32"/>
        </w:rPr>
        <w:t>最高金额如下：</w:t>
      </w:r>
    </w:p>
    <w:tbl>
      <w:tblPr>
        <w:tblStyle w:val="4"/>
        <w:tblW w:w="8243" w:type="dxa"/>
        <w:tblInd w:w="-5" w:type="dxa"/>
        <w:tblLayout w:type="autofit"/>
        <w:tblCellMar>
          <w:top w:w="0" w:type="dxa"/>
          <w:left w:w="108" w:type="dxa"/>
          <w:bottom w:w="0" w:type="dxa"/>
          <w:right w:w="108" w:type="dxa"/>
        </w:tblCellMar>
      </w:tblPr>
      <w:tblGrid>
        <w:gridCol w:w="1737"/>
        <w:gridCol w:w="3042"/>
        <w:gridCol w:w="3464"/>
      </w:tblGrid>
      <w:tr>
        <w:tblPrEx>
          <w:tblCellMar>
            <w:top w:w="0" w:type="dxa"/>
            <w:left w:w="108" w:type="dxa"/>
            <w:bottom w:w="0" w:type="dxa"/>
            <w:right w:w="108" w:type="dxa"/>
          </w:tblCellMar>
        </w:tblPrEx>
        <w:trPr>
          <w:trHeight w:val="255" w:hRule="atLeast"/>
        </w:trPr>
        <w:tc>
          <w:tcPr>
            <w:tcW w:w="82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2"/>
              </w:rPr>
            </w:pPr>
            <w:r>
              <w:rPr>
                <w:rFonts w:hint="eastAsia" w:ascii="仿宋" w:hAnsi="仿宋" w:eastAsia="仿宋" w:cs="宋体"/>
                <w:kern w:val="0"/>
                <w:sz w:val="22"/>
              </w:rPr>
              <w:t>账单分期期限和限额</w:t>
            </w: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分期期数</w:t>
            </w:r>
          </w:p>
        </w:tc>
        <w:tc>
          <w:tcPr>
            <w:tcW w:w="30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分期最低金额</w:t>
            </w:r>
          </w:p>
        </w:tc>
        <w:tc>
          <w:tcPr>
            <w:tcW w:w="34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分期最高金额</w:t>
            </w: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w:t>
            </w:r>
          </w:p>
        </w:tc>
        <w:tc>
          <w:tcPr>
            <w:tcW w:w="30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人民币500元，每期应还本金不低于人民币100元</w:t>
            </w:r>
          </w:p>
        </w:tc>
        <w:tc>
          <w:tcPr>
            <w:tcW w:w="3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原则上不超过持卡人账户信用额度，账单分期最高金额不超过已出账单金额减去最低还款额的余额</w:t>
            </w: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w:t>
            </w:r>
          </w:p>
        </w:tc>
        <w:tc>
          <w:tcPr>
            <w:tcW w:w="30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9</w:t>
            </w:r>
          </w:p>
        </w:tc>
        <w:tc>
          <w:tcPr>
            <w:tcW w:w="30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12</w:t>
            </w:r>
          </w:p>
        </w:tc>
        <w:tc>
          <w:tcPr>
            <w:tcW w:w="30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18</w:t>
            </w:r>
          </w:p>
        </w:tc>
        <w:tc>
          <w:tcPr>
            <w:tcW w:w="30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24</w:t>
            </w:r>
          </w:p>
        </w:tc>
        <w:tc>
          <w:tcPr>
            <w:tcW w:w="30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36</w:t>
            </w:r>
          </w:p>
        </w:tc>
        <w:tc>
          <w:tcPr>
            <w:tcW w:w="30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人民币50000元，每期应还本金不低于人民币800元</w:t>
            </w: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48</w:t>
            </w:r>
          </w:p>
        </w:tc>
        <w:tc>
          <w:tcPr>
            <w:tcW w:w="30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55" w:hRule="atLeast"/>
        </w:trPr>
        <w:tc>
          <w:tcPr>
            <w:tcW w:w="17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60</w:t>
            </w:r>
          </w:p>
        </w:tc>
        <w:tc>
          <w:tcPr>
            <w:tcW w:w="304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c>
          <w:tcPr>
            <w:tcW w:w="346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Cs w:val="21"/>
              </w:rPr>
            </w:pPr>
          </w:p>
        </w:tc>
      </w:tr>
    </w:tbl>
    <w:p>
      <w:pPr>
        <w:adjustRightInd w:val="0"/>
        <w:spacing w:line="360" w:lineRule="auto"/>
        <w:rPr>
          <w:rFonts w:hint="eastAsia" w:ascii="仿宋" w:hAnsi="仿宋" w:eastAsia="仿宋"/>
          <w:sz w:val="32"/>
          <w:szCs w:val="32"/>
        </w:rPr>
      </w:pP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4.哪些交易不能申请分期业务？</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以下交易金额不能申请分期业务：预借现金交易、预授权交易、已申请分期的交易及其每期应还的本金、使用临时额度的交易、费用及利息以及我行规定的其他交易。</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5.可以分几期，分期利息收取标准是多少？分期利息如何收取？应还本金和分期利息何时计入账单？</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目前，我行为持卡人提供的灵活分期业务的期限最长不超过 2 年，可分期期数为 3、6、9、12、18、24 期（每期为一个月）</w:t>
      </w:r>
      <w:r>
        <w:rPr>
          <w:rFonts w:ascii="仿宋_GB2312" w:hAnsi="Times New Roman" w:eastAsia="仿宋_GB2312"/>
          <w:sz w:val="32"/>
          <w:szCs w:val="32"/>
        </w:rPr>
        <w:t>。</w:t>
      </w:r>
      <w:r>
        <w:rPr>
          <w:rFonts w:hint="eastAsia" w:ascii="仿宋_GB2312" w:hAnsi="Times New Roman" w:eastAsia="仿宋_GB2312"/>
          <w:sz w:val="32"/>
          <w:szCs w:val="32"/>
        </w:rPr>
        <w:t>账单分期业务的期限最长可达5年，可分期期数为 3、6、9、12、18、24、36、48、60 期（每期为一个月）</w:t>
      </w:r>
      <w:r>
        <w:rPr>
          <w:rFonts w:ascii="仿宋_GB2312" w:hAnsi="Times New Roman" w:eastAsia="仿宋_GB2312"/>
          <w:sz w:val="32"/>
          <w:szCs w:val="32"/>
        </w:rPr>
        <w:t>。</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分期</w:t>
      </w:r>
      <w:r>
        <w:rPr>
          <w:rFonts w:ascii="仿宋_GB2312" w:hAnsi="Times New Roman" w:eastAsia="仿宋_GB2312"/>
          <w:sz w:val="32"/>
          <w:szCs w:val="32"/>
        </w:rPr>
        <w:t>利息收取标准如下：</w:t>
      </w:r>
    </w:p>
    <w:tbl>
      <w:tblPr>
        <w:tblStyle w:val="4"/>
        <w:tblpPr w:leftFromText="180" w:rightFromText="180" w:vertAnchor="text" w:horzAnchor="margin" w:tblpY="89"/>
        <w:tblW w:w="8219" w:type="dxa"/>
        <w:tblInd w:w="0" w:type="dxa"/>
        <w:tblLayout w:type="fixed"/>
        <w:tblCellMar>
          <w:top w:w="0" w:type="dxa"/>
          <w:left w:w="108" w:type="dxa"/>
          <w:bottom w:w="0" w:type="dxa"/>
          <w:right w:w="108" w:type="dxa"/>
        </w:tblCellMar>
      </w:tblPr>
      <w:tblGrid>
        <w:gridCol w:w="2542"/>
        <w:gridCol w:w="2590"/>
        <w:gridCol w:w="3087"/>
      </w:tblGrid>
      <w:tr>
        <w:tblPrEx>
          <w:tblCellMar>
            <w:top w:w="0" w:type="dxa"/>
            <w:left w:w="108" w:type="dxa"/>
            <w:bottom w:w="0" w:type="dxa"/>
            <w:right w:w="108" w:type="dxa"/>
          </w:tblCellMar>
        </w:tblPrEx>
        <w:trPr>
          <w:trHeight w:val="478" w:hRule="atLeast"/>
        </w:trPr>
        <w:tc>
          <w:tcPr>
            <w:tcW w:w="2542"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分期期数</w:t>
            </w:r>
          </w:p>
        </w:tc>
        <w:tc>
          <w:tcPr>
            <w:tcW w:w="2590" w:type="dxa"/>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每期分期利率</w:t>
            </w:r>
          </w:p>
        </w:tc>
        <w:tc>
          <w:tcPr>
            <w:tcW w:w="3087" w:type="dxa"/>
            <w:tcBorders>
              <w:top w:val="single" w:color="auto" w:sz="8" w:space="0"/>
              <w:left w:val="nil"/>
              <w:bottom w:val="single" w:color="auto" w:sz="4" w:space="0"/>
              <w:right w:val="single" w:color="auto" w:sz="8"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近似折算年化利率（单利）</w:t>
            </w:r>
          </w:p>
        </w:tc>
      </w:tr>
      <w:tr>
        <w:tblPrEx>
          <w:tblCellMar>
            <w:top w:w="0" w:type="dxa"/>
            <w:left w:w="108" w:type="dxa"/>
            <w:bottom w:w="0" w:type="dxa"/>
            <w:right w:w="108" w:type="dxa"/>
          </w:tblCellMar>
        </w:tblPrEx>
        <w:trPr>
          <w:trHeight w:val="247"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3</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0.60%</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10.77%</w:t>
            </w:r>
          </w:p>
        </w:tc>
      </w:tr>
      <w:tr>
        <w:tblPrEx>
          <w:tblCellMar>
            <w:top w:w="0" w:type="dxa"/>
            <w:left w:w="108" w:type="dxa"/>
            <w:bottom w:w="0" w:type="dxa"/>
            <w:right w:w="108" w:type="dxa"/>
          </w:tblCellMar>
        </w:tblPrEx>
        <w:trPr>
          <w:trHeight w:val="215"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6</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0.60%</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12.24%</w:t>
            </w:r>
          </w:p>
        </w:tc>
      </w:tr>
      <w:tr>
        <w:tblPrEx>
          <w:tblCellMar>
            <w:top w:w="0" w:type="dxa"/>
            <w:left w:w="108" w:type="dxa"/>
            <w:bottom w:w="0" w:type="dxa"/>
            <w:right w:w="108" w:type="dxa"/>
          </w:tblCellMar>
        </w:tblPrEx>
        <w:trPr>
          <w:trHeight w:val="226"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9</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0.60%</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12.78%</w:t>
            </w:r>
          </w:p>
        </w:tc>
      </w:tr>
      <w:tr>
        <w:tblPrEx>
          <w:tblCellMar>
            <w:top w:w="0" w:type="dxa"/>
            <w:left w:w="108" w:type="dxa"/>
            <w:bottom w:w="0" w:type="dxa"/>
            <w:right w:w="108" w:type="dxa"/>
          </w:tblCellMar>
        </w:tblPrEx>
        <w:trPr>
          <w:trHeight w:val="272"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12</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0.60%</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13.03%</w:t>
            </w:r>
          </w:p>
        </w:tc>
      </w:tr>
      <w:tr>
        <w:tblPrEx>
          <w:tblCellMar>
            <w:top w:w="0" w:type="dxa"/>
            <w:left w:w="108" w:type="dxa"/>
            <w:bottom w:w="0" w:type="dxa"/>
            <w:right w:w="108" w:type="dxa"/>
          </w:tblCellMar>
        </w:tblPrEx>
        <w:trPr>
          <w:trHeight w:val="240"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18</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0.65%</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ascii="仿宋" w:hAnsi="仿宋" w:eastAsia="仿宋" w:cs="宋体"/>
                <w:kern w:val="0"/>
                <w:szCs w:val="21"/>
              </w:rPr>
              <w:t>14.30%</w:t>
            </w:r>
          </w:p>
        </w:tc>
      </w:tr>
      <w:tr>
        <w:tblPrEx>
          <w:tblCellMar>
            <w:top w:w="0" w:type="dxa"/>
            <w:left w:w="108" w:type="dxa"/>
            <w:bottom w:w="0" w:type="dxa"/>
            <w:right w:w="108" w:type="dxa"/>
          </w:tblCellMar>
        </w:tblPrEx>
        <w:trPr>
          <w:trHeight w:val="258"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24</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0.65%</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ascii="仿宋" w:hAnsi="仿宋" w:eastAsia="仿宋" w:cs="宋体"/>
                <w:kern w:val="0"/>
                <w:szCs w:val="21"/>
              </w:rPr>
              <w:t>14.33</w:t>
            </w: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258"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36</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0.70</w:t>
            </w:r>
            <w:r>
              <w:rPr>
                <w:rFonts w:ascii="仿宋" w:hAnsi="仿宋" w:eastAsia="仿宋" w:cs="宋体"/>
                <w:kern w:val="0"/>
                <w:szCs w:val="21"/>
              </w:rPr>
              <w:t>%</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15.23</w:t>
            </w:r>
            <w:r>
              <w:rPr>
                <w:rFonts w:ascii="仿宋" w:hAnsi="仿宋" w:eastAsia="仿宋" w:cs="宋体"/>
                <w:kern w:val="0"/>
                <w:szCs w:val="21"/>
              </w:rPr>
              <w:t>%</w:t>
            </w:r>
          </w:p>
        </w:tc>
      </w:tr>
      <w:tr>
        <w:tblPrEx>
          <w:tblCellMar>
            <w:top w:w="0" w:type="dxa"/>
            <w:left w:w="108" w:type="dxa"/>
            <w:bottom w:w="0" w:type="dxa"/>
            <w:right w:w="108" w:type="dxa"/>
          </w:tblCellMar>
        </w:tblPrEx>
        <w:trPr>
          <w:trHeight w:val="258"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48</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0.70</w:t>
            </w:r>
            <w:r>
              <w:rPr>
                <w:rFonts w:ascii="仿宋" w:hAnsi="仿宋" w:eastAsia="仿宋" w:cs="宋体"/>
                <w:kern w:val="0"/>
                <w:szCs w:val="21"/>
              </w:rPr>
              <w:t>%</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15.01</w:t>
            </w:r>
            <w:r>
              <w:rPr>
                <w:rFonts w:ascii="仿宋" w:hAnsi="仿宋" w:eastAsia="仿宋" w:cs="宋体"/>
                <w:kern w:val="0"/>
                <w:szCs w:val="21"/>
              </w:rPr>
              <w:t>%</w:t>
            </w:r>
          </w:p>
        </w:tc>
      </w:tr>
      <w:tr>
        <w:tblPrEx>
          <w:tblCellMar>
            <w:top w:w="0" w:type="dxa"/>
            <w:left w:w="108" w:type="dxa"/>
            <w:bottom w:w="0" w:type="dxa"/>
            <w:right w:w="108" w:type="dxa"/>
          </w:tblCellMar>
        </w:tblPrEx>
        <w:trPr>
          <w:trHeight w:val="258" w:hRule="atLeast"/>
        </w:trPr>
        <w:tc>
          <w:tcPr>
            <w:tcW w:w="2542" w:type="dxa"/>
            <w:tcBorders>
              <w:top w:val="nil"/>
              <w:left w:val="single" w:color="auto" w:sz="8"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60</w:t>
            </w:r>
          </w:p>
        </w:tc>
        <w:tc>
          <w:tcPr>
            <w:tcW w:w="259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0.75</w:t>
            </w:r>
            <w:r>
              <w:rPr>
                <w:rFonts w:ascii="仿宋" w:hAnsi="仿宋" w:eastAsia="仿宋" w:cs="宋体"/>
                <w:kern w:val="0"/>
                <w:szCs w:val="21"/>
              </w:rPr>
              <w:t>%</w:t>
            </w:r>
          </w:p>
        </w:tc>
        <w:tc>
          <w:tcPr>
            <w:tcW w:w="3087" w:type="dxa"/>
            <w:tcBorders>
              <w:top w:val="nil"/>
              <w:left w:val="nil"/>
              <w:bottom w:val="single" w:color="auto" w:sz="4"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15.71</w:t>
            </w:r>
            <w:r>
              <w:rPr>
                <w:rFonts w:ascii="仿宋" w:hAnsi="仿宋" w:eastAsia="仿宋" w:cs="宋体"/>
                <w:kern w:val="0"/>
                <w:szCs w:val="21"/>
              </w:rPr>
              <w:t>%</w:t>
            </w:r>
          </w:p>
        </w:tc>
      </w:tr>
      <w:tr>
        <w:tblPrEx>
          <w:tblCellMar>
            <w:top w:w="0" w:type="dxa"/>
            <w:left w:w="108" w:type="dxa"/>
            <w:bottom w:w="0" w:type="dxa"/>
            <w:right w:w="108" w:type="dxa"/>
          </w:tblCellMar>
        </w:tblPrEx>
        <w:trPr>
          <w:trHeight w:val="986" w:hRule="atLeast"/>
        </w:trPr>
        <w:tc>
          <w:tcPr>
            <w:tcW w:w="8219" w:type="dxa"/>
            <w:gridSpan w:val="3"/>
            <w:vMerge w:val="restart"/>
            <w:tcBorders>
              <w:top w:val="single" w:color="auto" w:sz="4" w:space="0"/>
              <w:left w:val="single" w:color="auto" w:sz="8" w:space="0"/>
              <w:bottom w:val="single" w:color="000000" w:sz="8" w:space="0"/>
              <w:right w:val="single" w:color="000000" w:sz="8" w:space="0"/>
            </w:tcBorders>
            <w:vAlign w:val="center"/>
          </w:tcPr>
          <w:p>
            <w:pPr>
              <w:spacing w:line="360" w:lineRule="auto"/>
              <w:rPr>
                <w:rFonts w:ascii="仿宋" w:hAnsi="仿宋" w:eastAsia="仿宋" w:cs="宋体"/>
                <w:kern w:val="0"/>
                <w:szCs w:val="21"/>
              </w:rPr>
            </w:pPr>
            <w:r>
              <w:rPr>
                <w:rFonts w:hint="eastAsia" w:ascii="仿宋" w:hAnsi="仿宋" w:eastAsia="仿宋" w:cs="宋体"/>
                <w:kern w:val="0"/>
                <w:szCs w:val="21"/>
              </w:rPr>
              <w:t>备注：</w:t>
            </w:r>
          </w:p>
          <w:p>
            <w:pPr>
              <w:spacing w:line="360" w:lineRule="auto"/>
              <w:rPr>
                <w:rFonts w:ascii="仿宋" w:hAnsi="仿宋" w:eastAsia="仿宋"/>
                <w:bCs/>
                <w:szCs w:val="21"/>
              </w:rPr>
            </w:pPr>
            <w:r>
              <w:rPr>
                <w:rFonts w:hint="eastAsia" w:ascii="仿宋" w:hAnsi="仿宋" w:eastAsia="仿宋" w:cs="宋体"/>
                <w:kern w:val="0"/>
                <w:szCs w:val="21"/>
              </w:rPr>
              <w:t>近似折算年化利率（单利）</w:t>
            </w:r>
            <w:r>
              <w:rPr>
                <w:rFonts w:ascii="仿宋" w:hAnsi="仿宋" w:eastAsia="仿宋" w:cs="宋体"/>
                <w:kern w:val="0"/>
                <w:szCs w:val="21"/>
              </w:rPr>
              <w:t>根据</w:t>
            </w:r>
            <w:r>
              <w:rPr>
                <w:rFonts w:hint="eastAsia" w:ascii="仿宋" w:hAnsi="仿宋" w:eastAsia="仿宋" w:cs="宋体"/>
                <w:kern w:val="0"/>
                <w:szCs w:val="21"/>
              </w:rPr>
              <w:t>IRR公式测算得出，具体公式如下：</w:t>
            </w:r>
            <w:r>
              <w:rPr>
                <w:rFonts w:hint="eastAsia" w:ascii="仿宋" w:hAnsi="仿宋" w:eastAsia="仿宋" w:cs="宋体"/>
                <w:kern w:val="0"/>
                <w:szCs w:val="21"/>
              </w:rPr>
              <w:br w:type="textWrapping"/>
            </w:r>
            <w:r>
              <w:rPr>
                <w:rFonts w:hint="eastAsia" w:ascii="仿宋" w:hAnsi="仿宋" w:eastAsia="仿宋"/>
                <w:bCs/>
                <w:szCs w:val="21"/>
              </w:rPr>
              <w:t>分期总本金</w:t>
            </w:r>
            <w:r>
              <w:rPr>
                <w:rFonts w:ascii="仿宋" w:hAnsi="仿宋" w:eastAsia="仿宋"/>
                <w:bCs/>
                <w:szCs w:val="21"/>
              </w:rPr>
              <w:t>=</w:t>
            </w:r>
            <w:r>
              <w:rPr>
                <w:rFonts w:ascii="仿宋" w:hAnsi="仿宋" w:eastAsia="仿宋"/>
                <w:bCs/>
                <w:szCs w:val="21"/>
              </w:rPr>
              <w:fldChar w:fldCharType="begin"/>
            </w:r>
            <w:r>
              <w:rPr>
                <w:rFonts w:ascii="仿宋" w:hAnsi="仿宋" w:eastAsia="仿宋"/>
                <w:bCs/>
                <w:szCs w:val="21"/>
              </w:rPr>
              <w:instrText xml:space="preserve"> QUOTE </w:instrText>
            </w:r>
            <w:r>
              <w:rPr>
                <w:position w:val="-44"/>
                <w:szCs w:val="21"/>
              </w:rPr>
              <w:drawing>
                <wp:inline distT="0" distB="0" distL="0" distR="0">
                  <wp:extent cx="1619250" cy="590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19250" cy="590550"/>
                          </a:xfrm>
                          <a:prstGeom prst="rect">
                            <a:avLst/>
                          </a:prstGeom>
                          <a:noFill/>
                          <a:ln>
                            <a:noFill/>
                          </a:ln>
                        </pic:spPr>
                      </pic:pic>
                    </a:graphicData>
                  </a:graphic>
                </wp:inline>
              </w:drawing>
            </w:r>
            <w:r>
              <w:rPr>
                <w:rFonts w:ascii="仿宋" w:hAnsi="仿宋" w:eastAsia="仿宋"/>
                <w:bCs/>
                <w:szCs w:val="21"/>
              </w:rPr>
              <w:instrText xml:space="preserve"> </w:instrText>
            </w:r>
            <w:r>
              <w:rPr>
                <w:rFonts w:ascii="仿宋" w:hAnsi="仿宋" w:eastAsia="仿宋"/>
                <w:bCs/>
                <w:szCs w:val="21"/>
              </w:rPr>
              <w:fldChar w:fldCharType="separate"/>
            </w:r>
            <w:r>
              <w:rPr>
                <w:position w:val="-44"/>
                <w:szCs w:val="21"/>
              </w:rPr>
              <w:drawing>
                <wp:inline distT="0" distB="0" distL="0" distR="0">
                  <wp:extent cx="1619250" cy="590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19250" cy="590550"/>
                          </a:xfrm>
                          <a:prstGeom prst="rect">
                            <a:avLst/>
                          </a:prstGeom>
                          <a:noFill/>
                          <a:ln>
                            <a:noFill/>
                          </a:ln>
                        </pic:spPr>
                      </pic:pic>
                    </a:graphicData>
                  </a:graphic>
                </wp:inline>
              </w:drawing>
            </w:r>
            <w:r>
              <w:rPr>
                <w:rFonts w:ascii="仿宋" w:hAnsi="仿宋" w:eastAsia="仿宋"/>
                <w:bCs/>
                <w:szCs w:val="21"/>
              </w:rPr>
              <w:fldChar w:fldCharType="end"/>
            </w:r>
          </w:p>
          <w:p>
            <w:pPr>
              <w:widowControl/>
              <w:rPr>
                <w:rFonts w:ascii="仿宋" w:hAnsi="仿宋" w:eastAsia="仿宋" w:cs="宋体"/>
                <w:kern w:val="0"/>
                <w:szCs w:val="21"/>
              </w:rPr>
            </w:pPr>
            <w:r>
              <w:rPr>
                <w:rFonts w:hint="eastAsia" w:ascii="仿宋" w:hAnsi="仿宋" w:eastAsia="仿宋" w:cs="宋体"/>
                <w:kern w:val="0"/>
                <w:szCs w:val="21"/>
              </w:rPr>
              <w:t>其中：</w:t>
            </w:r>
          </w:p>
          <w:p>
            <w:pPr>
              <w:widowControl/>
              <w:rPr>
                <w:rFonts w:ascii="仿宋" w:hAnsi="仿宋" w:eastAsia="仿宋" w:cs="宋体"/>
                <w:kern w:val="0"/>
                <w:szCs w:val="21"/>
              </w:rPr>
            </w:pPr>
            <w:r>
              <w:rPr>
                <w:rFonts w:ascii="仿宋" w:hAnsi="仿宋" w:eastAsia="仿宋" w:cs="宋体"/>
                <w:kern w:val="0"/>
                <w:szCs w:val="21"/>
              </w:rPr>
              <w:t>①</w:t>
            </w:r>
            <w:r>
              <w:rPr>
                <w:rFonts w:hint="eastAsia" w:ascii="仿宋" w:hAnsi="仿宋" w:eastAsia="仿宋" w:cs="宋体"/>
                <w:kern w:val="0"/>
                <w:szCs w:val="21"/>
              </w:rPr>
              <w:t>n为年内还款期数，T为总年数，由此计算出的IRR即为近似折算年化利率（单利）；</w:t>
            </w:r>
          </w:p>
          <w:p>
            <w:pPr>
              <w:widowControl/>
              <w:rPr>
                <w:rFonts w:ascii="仿宋" w:hAnsi="仿宋" w:eastAsia="仿宋" w:cs="宋体"/>
                <w:kern w:val="0"/>
                <w:szCs w:val="21"/>
              </w:rPr>
            </w:pPr>
            <w:r>
              <w:rPr>
                <w:rFonts w:hint="eastAsia" w:ascii="仿宋" w:hAnsi="仿宋" w:eastAsia="仿宋" w:cs="宋体"/>
                <w:kern w:val="0"/>
                <w:szCs w:val="21"/>
              </w:rPr>
              <w:t>②白金卡级别信用卡分期利息按照收费标准的8.5折收取；</w:t>
            </w:r>
          </w:p>
          <w:p>
            <w:pPr>
              <w:widowControl/>
              <w:rPr>
                <w:rFonts w:ascii="仿宋" w:hAnsi="仿宋" w:eastAsia="仿宋" w:cs="宋体"/>
                <w:b/>
                <w:kern w:val="0"/>
                <w:szCs w:val="21"/>
              </w:rPr>
            </w:pPr>
            <w:r>
              <w:rPr>
                <w:rFonts w:hint="eastAsia" w:ascii="仿宋" w:hAnsi="仿宋" w:eastAsia="仿宋" w:cs="宋体"/>
                <w:kern w:val="0"/>
                <w:szCs w:val="21"/>
              </w:rPr>
              <w:t>③</w:t>
            </w:r>
            <w:r>
              <w:rPr>
                <w:rFonts w:ascii="仿宋" w:hAnsi="仿宋" w:eastAsia="仿宋" w:cs="宋体"/>
                <w:kern w:val="0"/>
                <w:szCs w:val="21"/>
              </w:rPr>
              <w:t>36</w:t>
            </w:r>
            <w:r>
              <w:rPr>
                <w:rFonts w:hint="eastAsia" w:ascii="仿宋" w:hAnsi="仿宋" w:eastAsia="仿宋" w:cs="宋体"/>
                <w:kern w:val="0"/>
                <w:szCs w:val="21"/>
              </w:rPr>
              <w:t>期</w:t>
            </w:r>
            <w:r>
              <w:rPr>
                <w:rFonts w:ascii="仿宋" w:hAnsi="仿宋" w:eastAsia="仿宋" w:cs="宋体"/>
                <w:kern w:val="0"/>
                <w:szCs w:val="21"/>
              </w:rPr>
              <w:t>、</w:t>
            </w:r>
            <w:r>
              <w:rPr>
                <w:rFonts w:hint="eastAsia" w:ascii="仿宋" w:hAnsi="仿宋" w:eastAsia="仿宋" w:cs="宋体"/>
                <w:kern w:val="0"/>
                <w:szCs w:val="21"/>
              </w:rPr>
              <w:t>48期</w:t>
            </w:r>
            <w:r>
              <w:rPr>
                <w:rFonts w:ascii="仿宋" w:hAnsi="仿宋" w:eastAsia="仿宋" w:cs="宋体"/>
                <w:kern w:val="0"/>
                <w:szCs w:val="21"/>
              </w:rPr>
              <w:t>、</w:t>
            </w:r>
            <w:r>
              <w:rPr>
                <w:rFonts w:hint="eastAsia" w:ascii="仿宋" w:hAnsi="仿宋" w:eastAsia="仿宋" w:cs="宋体"/>
                <w:kern w:val="0"/>
                <w:szCs w:val="21"/>
              </w:rPr>
              <w:t>60期</w:t>
            </w:r>
            <w:r>
              <w:rPr>
                <w:rFonts w:ascii="仿宋" w:hAnsi="仿宋" w:eastAsia="仿宋" w:cs="宋体"/>
                <w:kern w:val="0"/>
                <w:szCs w:val="21"/>
              </w:rPr>
              <w:t>仅适用</w:t>
            </w:r>
            <w:r>
              <w:rPr>
                <w:rFonts w:hint="eastAsia" w:ascii="仿宋" w:hAnsi="仿宋" w:eastAsia="仿宋" w:cs="宋体"/>
                <w:kern w:val="0"/>
                <w:szCs w:val="21"/>
              </w:rPr>
              <w:t>于</w:t>
            </w:r>
            <w:r>
              <w:rPr>
                <w:rFonts w:ascii="仿宋" w:hAnsi="仿宋" w:eastAsia="仿宋" w:cs="宋体"/>
                <w:kern w:val="0"/>
                <w:szCs w:val="21"/>
              </w:rPr>
              <w:t>账单金额</w:t>
            </w:r>
            <w:r>
              <w:rPr>
                <w:rFonts w:hint="eastAsia" w:ascii="仿宋" w:hAnsi="仿宋" w:eastAsia="仿宋" w:cs="宋体"/>
                <w:kern w:val="0"/>
                <w:szCs w:val="21"/>
              </w:rPr>
              <w:t>50000元（含）以上</w:t>
            </w:r>
            <w:r>
              <w:rPr>
                <w:rFonts w:ascii="仿宋" w:hAnsi="仿宋" w:eastAsia="仿宋" w:cs="宋体"/>
                <w:kern w:val="0"/>
                <w:szCs w:val="21"/>
              </w:rPr>
              <w:t>的账单分期</w:t>
            </w:r>
            <w:r>
              <w:rPr>
                <w:rFonts w:hint="eastAsia" w:ascii="仿宋" w:hAnsi="仿宋" w:eastAsia="仿宋" w:cs="宋体"/>
                <w:kern w:val="0"/>
                <w:szCs w:val="21"/>
              </w:rPr>
              <w:t>。</w:t>
            </w:r>
          </w:p>
        </w:tc>
      </w:tr>
      <w:tr>
        <w:tblPrEx>
          <w:tblCellMar>
            <w:top w:w="0" w:type="dxa"/>
            <w:left w:w="108" w:type="dxa"/>
            <w:bottom w:w="0" w:type="dxa"/>
            <w:right w:w="108" w:type="dxa"/>
          </w:tblCellMar>
        </w:tblPrEx>
        <w:trPr>
          <w:trHeight w:val="604" w:hRule="atLeast"/>
        </w:trPr>
        <w:tc>
          <w:tcPr>
            <w:tcW w:w="8219" w:type="dxa"/>
            <w:gridSpan w:val="3"/>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604" w:hRule="atLeast"/>
        </w:trPr>
        <w:tc>
          <w:tcPr>
            <w:tcW w:w="8219" w:type="dxa"/>
            <w:gridSpan w:val="3"/>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12" w:hRule="atLeast"/>
        </w:trPr>
        <w:tc>
          <w:tcPr>
            <w:tcW w:w="8219" w:type="dxa"/>
            <w:gridSpan w:val="3"/>
            <w:vMerge w:val="continue"/>
            <w:tcBorders>
              <w:top w:val="single" w:color="auto" w:sz="4" w:space="0"/>
              <w:left w:val="single" w:color="auto"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bl>
    <w:p>
      <w:pPr>
        <w:adjustRightInd w:val="0"/>
        <w:spacing w:line="276" w:lineRule="auto"/>
        <w:rPr>
          <w:rFonts w:ascii="仿宋" w:hAnsi="仿宋" w:eastAsia="仿宋" w:cs="宋体"/>
          <w:kern w:val="0"/>
          <w:szCs w:val="21"/>
        </w:rPr>
      </w:pPr>
      <w:r>
        <w:rPr>
          <w:rFonts w:hint="eastAsia" w:ascii="仿宋" w:hAnsi="仿宋" w:eastAsia="仿宋" w:cs="宋体"/>
          <w:kern w:val="0"/>
          <w:szCs w:val="21"/>
        </w:rPr>
        <w:t>分期</w:t>
      </w:r>
      <w:r>
        <w:rPr>
          <w:rFonts w:ascii="仿宋" w:hAnsi="仿宋" w:eastAsia="仿宋" w:cs="宋体"/>
          <w:kern w:val="0"/>
          <w:szCs w:val="21"/>
        </w:rPr>
        <w:t>利率对应的近似折算年化利率是根据持卡人现金流计算的年化内含报酬率，用单利计算仅供参考，受交易时间、还款时间</w:t>
      </w:r>
      <w:r>
        <w:rPr>
          <w:rFonts w:hint="eastAsia" w:ascii="仿宋" w:hAnsi="仿宋" w:eastAsia="仿宋" w:cs="宋体"/>
          <w:kern w:val="0"/>
          <w:szCs w:val="21"/>
        </w:rPr>
        <w:t>等</w:t>
      </w:r>
      <w:r>
        <w:rPr>
          <w:rFonts w:ascii="仿宋" w:hAnsi="仿宋" w:eastAsia="仿宋" w:cs="宋体"/>
          <w:kern w:val="0"/>
          <w:szCs w:val="21"/>
        </w:rPr>
        <w:t>不同因素的</w:t>
      </w:r>
      <w:r>
        <w:rPr>
          <w:rFonts w:hint="eastAsia" w:ascii="仿宋" w:hAnsi="仿宋" w:eastAsia="仿宋" w:cs="宋体"/>
          <w:kern w:val="0"/>
          <w:szCs w:val="21"/>
        </w:rPr>
        <w:t>影响</w:t>
      </w:r>
      <w:r>
        <w:rPr>
          <w:rFonts w:ascii="仿宋" w:hAnsi="仿宋" w:eastAsia="仿宋" w:cs="宋体"/>
          <w:kern w:val="0"/>
          <w:szCs w:val="21"/>
        </w:rPr>
        <w:t>，实际年化利率因选择办理的分期产品与账单日间隔、每月实际天数、还款方式等不同情况</w:t>
      </w:r>
      <w:r>
        <w:rPr>
          <w:rFonts w:hint="eastAsia" w:ascii="仿宋" w:hAnsi="仿宋" w:eastAsia="仿宋" w:cs="宋体"/>
          <w:kern w:val="0"/>
          <w:szCs w:val="21"/>
        </w:rPr>
        <w:t>而</w:t>
      </w:r>
      <w:r>
        <w:rPr>
          <w:rFonts w:ascii="仿宋" w:hAnsi="仿宋" w:eastAsia="仿宋" w:cs="宋体"/>
          <w:kern w:val="0"/>
          <w:szCs w:val="21"/>
        </w:rPr>
        <w:t>可能与该近似折算年化利率存在差异，持卡人实际支付的分期利息金额仍以账单列示为准，如持卡人未依约还款则不适用前述近似折算年化利率。本行</w:t>
      </w:r>
      <w:r>
        <w:rPr>
          <w:rFonts w:hint="eastAsia" w:ascii="仿宋" w:hAnsi="仿宋" w:eastAsia="仿宋" w:cs="宋体"/>
          <w:kern w:val="0"/>
          <w:szCs w:val="21"/>
        </w:rPr>
        <w:t>有权</w:t>
      </w:r>
      <w:r>
        <w:rPr>
          <w:rFonts w:ascii="仿宋" w:hAnsi="仿宋" w:eastAsia="仿宋" w:cs="宋体"/>
          <w:kern w:val="0"/>
          <w:szCs w:val="21"/>
        </w:rPr>
        <w:t>根据业务发展及客户</w:t>
      </w:r>
      <w:r>
        <w:rPr>
          <w:rFonts w:hint="eastAsia" w:ascii="仿宋" w:hAnsi="仿宋" w:eastAsia="仿宋" w:cs="宋体"/>
          <w:kern w:val="0"/>
          <w:szCs w:val="21"/>
        </w:rPr>
        <w:t>具体</w:t>
      </w:r>
      <w:r>
        <w:rPr>
          <w:rFonts w:ascii="仿宋" w:hAnsi="仿宋" w:eastAsia="仿宋" w:cs="宋体"/>
          <w:kern w:val="0"/>
          <w:szCs w:val="21"/>
        </w:rPr>
        <w:t>情况调整分期利率标准。</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持卡人申请分期业务成功后，须支付分期利息，利息按期收取，分期总本金和利息自申请成功的首个账单日开始摊销，每期应还的本金和利息逐月计入每期账单最低还款额。</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每期应还本金=（分期总本金-已摊销分期本金）÷（分期总期数-已摊销分期期数），精确到分（四舍五入）；</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分期总利息=分期总本金×每期利率×分期总期数，精确到分（四舍五入）；</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每期应还利息=（分期总利息-已摊销分期利息）÷（分期总期数-已摊销分期期数），精确到分（只舍不入）。</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6. 申请分期一定能成功吗？</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不一定，分期业务申请结果（是否成功、分期金额、分期期数、分期利率等）以天津农商银行最终审批结果为准。</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7. 分期业务申请成功后可以对分期金额及期数进行更改或撤销吗？</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持卡人申请分期业务成功后，不能更改分期金额及期数，同时不能对未偿还的分期余额再次申请分期偿还。</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账单分期可在申请当日18:00前通过拨打天津农商银行客服热线（022-96155、400-80-96155）申请撤销。</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灵活分期可在申请当日至当期账单日18:00前通过拨打天津农商银行客服热线（022-96155、400-80-96155）申请撤销。</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8. 办理分期业务之后，我的信用卡额度会如何变化呢？</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持卡人办理分期业务成功后，分期总本金全额占用信用额度，随着每期还款而逐期恢复，直至最后一期清偿或提前清偿所有分期款项。</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9. 若信用卡账户有溢缴款，会提前清偿分期的本金部分吗？</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不会，已成功办理分期业务的持卡人，若按期偿还信用卡当期应还账款后仍有多余款项，该款项将被视为溢缴款，不会自动提前偿还分期业务的剩余未还款项。</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10. 若想提前清偿未偿还的分期款项(即提前还款)，如何申请？</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持卡人提出提前清偿分期业务未还款项的，须一次性将未还款项全部清偿，不得申请部分提前清偿。</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持卡人提出提前清偿分期业务未还款项的，须放弃或退回该分期业务项下天津农商银行提供的相关营销活动奖励（包括但不限于：分期利息优惠、积分、礼品礼券、抵扣费用等）。</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持卡人提出提前清偿分期业务未还款项的，须致电天津农商银行客服热线（022-96155、400-80-96155）进行申请，经天津农商银行批准后，分期业务剩余未摊销本金将于下一账单日一并计入该期账单最低还款额。天津农商银行免除提前还款款项在剩余期数内的分期利息，但已收取的利息不予退还。</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11. 若与商户之间发生退货等退款情形，是否影响我的分期业务？</w:t>
      </w:r>
    </w:p>
    <w:p>
      <w:pPr>
        <w:adjustRightInd w:val="0"/>
        <w:spacing w:line="600" w:lineRule="auto"/>
        <w:ind w:firstLine="645"/>
        <w:rPr>
          <w:rFonts w:ascii="仿宋_GB2312" w:hAnsi="Times New Roman" w:eastAsia="仿宋_GB2312"/>
          <w:sz w:val="32"/>
          <w:szCs w:val="32"/>
        </w:rPr>
      </w:pPr>
      <w:r>
        <w:rPr>
          <w:rFonts w:hint="eastAsia" w:ascii="仿宋_GB2312" w:hAnsi="Times New Roman" w:eastAsia="仿宋_GB2312"/>
          <w:sz w:val="32"/>
          <w:szCs w:val="32"/>
        </w:rPr>
        <w:t>不影响，持卡人进行退货处理时，退货资金直接转入持卡人信用卡账户，已办理成功的分期业务不受影响，将继续正常使用。</w:t>
      </w:r>
    </w:p>
    <w:p>
      <w:pPr>
        <w:adjustRightInd w:val="0"/>
        <w:spacing w:line="600" w:lineRule="auto"/>
        <w:ind w:firstLine="645"/>
        <w:rPr>
          <w:rFonts w:ascii="仿宋_GB2312" w:hAnsi="Times New Roman" w:eastAsia="仿宋_GB2312"/>
          <w:b/>
          <w:sz w:val="32"/>
          <w:szCs w:val="32"/>
        </w:rPr>
      </w:pPr>
      <w:r>
        <w:rPr>
          <w:rFonts w:hint="eastAsia" w:ascii="仿宋_GB2312" w:hAnsi="Times New Roman" w:eastAsia="仿宋_GB2312"/>
          <w:b/>
          <w:sz w:val="32"/>
          <w:szCs w:val="32"/>
        </w:rPr>
        <w:t>12. 若分期业务还款期内需要注销卡片，分期业务如何处理？</w:t>
      </w:r>
    </w:p>
    <w:p>
      <w:pPr>
        <w:ind w:firstLine="640" w:firstLineChars="200"/>
      </w:pPr>
      <w:r>
        <w:rPr>
          <w:rFonts w:hint="eastAsia" w:ascii="仿宋_GB2312" w:hAnsi="Times New Roman" w:eastAsia="仿宋_GB2312"/>
          <w:sz w:val="32"/>
          <w:szCs w:val="32"/>
        </w:rPr>
        <w:t>持卡人在分期业务还款期内申请注销该信用卡卡片或账户的，须清偿包含分期业务未还款项在内的该信用卡账户全部欠款后方可办理。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854903"/>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NmZkYTc5ZTllMzEwYTlkZWE2YmEyODJiOTMxYmMifQ=="/>
  </w:docVars>
  <w:rsids>
    <w:rsidRoot w:val="00CA5B55"/>
    <w:rsid w:val="000C3DB3"/>
    <w:rsid w:val="00676A27"/>
    <w:rsid w:val="0084463E"/>
    <w:rsid w:val="009A6DA5"/>
    <w:rsid w:val="00B61236"/>
    <w:rsid w:val="00CA5B55"/>
    <w:rsid w:val="30B973B8"/>
    <w:rsid w:val="7FBB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2397</Words>
  <Characters>2634</Characters>
  <Lines>19</Lines>
  <Paragraphs>5</Paragraphs>
  <TotalTime>22</TotalTime>
  <ScaleCrop>false</ScaleCrop>
  <LinksUpToDate>false</LinksUpToDate>
  <CharactersWithSpaces>2647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2026-05-18T17:16:00Z</dcterms:created>
  <dc:creator>权丽媛</dc:creator>
  <cp:lastModifiedBy>于鹏文</cp:lastModifiedBy>
  <dcterms:modified xsi:type="dcterms:W3CDTF">2026-05-22T02:40:54Z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4D1A9D37916E4E7C977E1BD9694803E2_13</vt:lpwstr>
  </property>
</Properties>
</file>